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0907" w14:textId="77777777" w:rsidR="005F31B1" w:rsidRPr="005F31B1" w:rsidRDefault="005F31B1" w:rsidP="005F31B1">
      <w:pPr>
        <w:spacing w:after="120"/>
        <w:rPr>
          <w:b/>
          <w:bCs/>
          <w:sz w:val="32"/>
          <w:szCs w:val="32"/>
        </w:rPr>
      </w:pPr>
      <w:r w:rsidRPr="005F31B1">
        <w:rPr>
          <w:noProof/>
          <w:sz w:val="32"/>
          <w:szCs w:val="32"/>
        </w:rPr>
        <w:drawing>
          <wp:anchor distT="0" distB="0" distL="114300" distR="114300" simplePos="0" relativeHeight="251659264" behindDoc="1" locked="0" layoutInCell="1" allowOverlap="1" wp14:anchorId="57CBDA7B" wp14:editId="4289878F">
            <wp:simplePos x="0" y="0"/>
            <wp:positionH relativeFrom="column">
              <wp:posOffset>4594225</wp:posOffset>
            </wp:positionH>
            <wp:positionV relativeFrom="paragraph">
              <wp:posOffset>0</wp:posOffset>
            </wp:positionV>
            <wp:extent cx="1067435" cy="976630"/>
            <wp:effectExtent l="0" t="0" r="0" b="1270"/>
            <wp:wrapTight wrapText="bothSides">
              <wp:wrapPolygon edited="0">
                <wp:start x="771" y="0"/>
                <wp:lineTo x="0" y="562"/>
                <wp:lineTo x="0" y="10674"/>
                <wp:lineTo x="6939" y="13482"/>
                <wp:lineTo x="0" y="13482"/>
                <wp:lineTo x="0" y="21347"/>
                <wp:lineTo x="14391" y="21347"/>
                <wp:lineTo x="21330" y="18819"/>
                <wp:lineTo x="21330" y="13763"/>
                <wp:lineTo x="10537" y="13482"/>
                <wp:lineTo x="7710" y="8988"/>
                <wp:lineTo x="7710" y="843"/>
                <wp:lineTo x="6682" y="0"/>
                <wp:lineTo x="771"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7435" cy="976630"/>
                    </a:xfrm>
                    <a:prstGeom prst="rect">
                      <a:avLst/>
                    </a:prstGeom>
                    <a:extLst>
                      <a:ext uri="{FAA26D3D-D897-4be2-8F04-BA451C77F1D7}">
                        <ma14:placeholderFlag xmlns:arto="http://schemas.microsoft.com/office/word/2006/arto"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F31B1">
        <w:rPr>
          <w:b/>
          <w:bCs/>
          <w:sz w:val="32"/>
          <w:szCs w:val="32"/>
        </w:rPr>
        <w:t xml:space="preserve">Blue Haven Divestment Assessment </w:t>
      </w:r>
    </w:p>
    <w:p w14:paraId="09CD15CE" w14:textId="77777777" w:rsidR="005F31B1" w:rsidRPr="005F31B1" w:rsidRDefault="005F31B1" w:rsidP="00FD1261">
      <w:pPr>
        <w:contextualSpacing/>
      </w:pPr>
      <w:r w:rsidRPr="005F31B1">
        <w:t>Associate Professor Martin O’Brien</w:t>
      </w:r>
    </w:p>
    <w:p w14:paraId="1BCA4586" w14:textId="77777777" w:rsidR="005F31B1" w:rsidRPr="005F31B1" w:rsidRDefault="005F31B1" w:rsidP="00FD1261">
      <w:pPr>
        <w:contextualSpacing/>
      </w:pPr>
      <w:r w:rsidRPr="005F31B1">
        <w:t>Director of the Centre for Human and Social Capital Research</w:t>
      </w:r>
    </w:p>
    <w:p w14:paraId="39D9D64F" w14:textId="77777777" w:rsidR="005F31B1" w:rsidRPr="005F31B1" w:rsidRDefault="005F31B1" w:rsidP="00FD1261">
      <w:pPr>
        <w:contextualSpacing/>
      </w:pPr>
      <w:r w:rsidRPr="005F31B1">
        <w:t>Director of the MBA Program</w:t>
      </w:r>
    </w:p>
    <w:p w14:paraId="74FF6A1D" w14:textId="77777777" w:rsidR="005F31B1" w:rsidRPr="005F31B1" w:rsidRDefault="005F31B1" w:rsidP="00FD1261">
      <w:pPr>
        <w:contextualSpacing/>
      </w:pPr>
      <w:r w:rsidRPr="005F31B1">
        <w:t>Faculty of Business and Law</w:t>
      </w:r>
    </w:p>
    <w:p w14:paraId="0596DD70" w14:textId="77777777" w:rsidR="005F31B1" w:rsidRPr="005F31B1" w:rsidRDefault="005F31B1" w:rsidP="00FD1261">
      <w:pPr>
        <w:contextualSpacing/>
      </w:pPr>
      <w:r w:rsidRPr="005F31B1">
        <w:t>University of Wollongong</w:t>
      </w:r>
    </w:p>
    <w:p w14:paraId="07B9D1C1" w14:textId="77777777" w:rsidR="005F31B1" w:rsidRPr="005F31B1" w:rsidRDefault="00000000" w:rsidP="00FD1261">
      <w:pPr>
        <w:contextualSpacing/>
      </w:pPr>
      <w:hyperlink r:id="rId6" w:history="1">
        <w:r w:rsidR="005F31B1" w:rsidRPr="005F31B1">
          <w:rPr>
            <w:rStyle w:val="Hyperlink"/>
          </w:rPr>
          <w:t>martinob@uow.edu.au</w:t>
        </w:r>
      </w:hyperlink>
      <w:r w:rsidR="005F31B1" w:rsidRPr="005F31B1">
        <w:t xml:space="preserve"> </w:t>
      </w:r>
    </w:p>
    <w:p w14:paraId="3B598B19" w14:textId="3C8D0096" w:rsidR="00827A9B" w:rsidRDefault="00827A9B"/>
    <w:p w14:paraId="085C481F" w14:textId="3CB9C4A7" w:rsidR="000F411D" w:rsidRPr="00B274E3" w:rsidRDefault="000F411D" w:rsidP="00FD1261">
      <w:pPr>
        <w:spacing w:after="240"/>
        <w:rPr>
          <w:b/>
          <w:bCs/>
        </w:rPr>
      </w:pPr>
      <w:r w:rsidRPr="00B274E3">
        <w:rPr>
          <w:b/>
          <w:bCs/>
        </w:rPr>
        <w:t>Background</w:t>
      </w:r>
    </w:p>
    <w:p w14:paraId="7B7D5754" w14:textId="38C1AD95" w:rsidR="00A61CEE" w:rsidRPr="00FD1261" w:rsidRDefault="009D4ED1" w:rsidP="00FD1261">
      <w:pPr>
        <w:spacing w:after="240"/>
        <w:jc w:val="both"/>
        <w:outlineLvl w:val="5"/>
        <w:rPr>
          <w:rFonts w:cstheme="minorHAnsi"/>
          <w:color w:val="000000"/>
        </w:rPr>
      </w:pPr>
      <w:r>
        <w:t xml:space="preserve">Kiama Council has </w:t>
      </w:r>
      <w:r w:rsidR="009F3209">
        <w:t xml:space="preserve">a rich tradition of </w:t>
      </w:r>
      <w:r>
        <w:t>operat</w:t>
      </w:r>
      <w:r w:rsidR="009F3209">
        <w:t>ing</w:t>
      </w:r>
      <w:r>
        <w:t xml:space="preserve"> aged care facilities</w:t>
      </w:r>
      <w:r w:rsidR="00B1050D">
        <w:t>.</w:t>
      </w:r>
      <w:r w:rsidR="007B6670">
        <w:t xml:space="preserve"> Up until the 1970’s residents in need of aged care (or nursing home) facilities had to </w:t>
      </w:r>
      <w:r w:rsidR="003246D6">
        <w:t>relocate</w:t>
      </w:r>
      <w:r w:rsidR="007B6670">
        <w:t xml:space="preserve"> to other local council areas. </w:t>
      </w:r>
      <w:r w:rsidR="00EB511A">
        <w:t>With the</w:t>
      </w:r>
      <w:r w:rsidR="00021166">
        <w:t xml:space="preserve"> </w:t>
      </w:r>
      <w:r w:rsidR="005D7183">
        <w:t>overwhelming support of residents, community groups</w:t>
      </w:r>
      <w:r w:rsidR="00EB511A">
        <w:t xml:space="preserve">, </w:t>
      </w:r>
      <w:r w:rsidR="000C47EC">
        <w:t>churches, local fundraisers and federal government assistance,</w:t>
      </w:r>
      <w:r w:rsidR="006950CB">
        <w:t xml:space="preserve"> </w:t>
      </w:r>
      <w:r w:rsidR="007B6670">
        <w:t>Kiam</w:t>
      </w:r>
      <w:r w:rsidR="00230321">
        <w:t>a</w:t>
      </w:r>
      <w:r w:rsidR="007B6670">
        <w:t xml:space="preserve"> Council </w:t>
      </w:r>
      <w:r w:rsidR="00117EFB">
        <w:t xml:space="preserve">commissioned </w:t>
      </w:r>
      <w:r w:rsidR="00875637">
        <w:t>Blue Haven</w:t>
      </w:r>
      <w:r w:rsidR="00117EFB">
        <w:t xml:space="preserve"> aged care</w:t>
      </w:r>
      <w:r w:rsidR="003E3DA6">
        <w:t xml:space="preserve"> in 1979</w:t>
      </w:r>
      <w:r w:rsidR="007A661D">
        <w:t xml:space="preserve"> with a 40 bed </w:t>
      </w:r>
      <w:r w:rsidR="00B1050D">
        <w:t>facility</w:t>
      </w:r>
      <w:r w:rsidR="00117EFB">
        <w:t>,</w:t>
      </w:r>
      <w:r w:rsidR="00B1050D">
        <w:t xml:space="preserve"> accepting many</w:t>
      </w:r>
      <w:r w:rsidR="004017B5">
        <w:t xml:space="preserve"> of the first residents </w:t>
      </w:r>
      <w:r w:rsidR="00117EFB">
        <w:t>from nearby</w:t>
      </w:r>
      <w:r w:rsidR="004017B5">
        <w:t xml:space="preserve"> Kiama Hospital</w:t>
      </w:r>
      <w:r w:rsidR="00117EFB">
        <w:t>. Since these humble beginnings</w:t>
      </w:r>
      <w:r w:rsidR="00230321">
        <w:t xml:space="preserve">, </w:t>
      </w:r>
      <w:r w:rsidR="007F1A20">
        <w:t>Bl</w:t>
      </w:r>
      <w:r w:rsidR="00484C63">
        <w:t>u</w:t>
      </w:r>
      <w:r w:rsidR="007F1A20">
        <w:t xml:space="preserve">e Haven has </w:t>
      </w:r>
      <w:r w:rsidR="00230321">
        <w:t>expand</w:t>
      </w:r>
      <w:r w:rsidR="007F1A20">
        <w:t xml:space="preserve">ed over numerous </w:t>
      </w:r>
      <w:r w:rsidR="00DC4543">
        <w:t xml:space="preserve">development phases </w:t>
      </w:r>
      <w:r w:rsidR="00230321">
        <w:t xml:space="preserve">to encompass </w:t>
      </w:r>
      <w:r w:rsidR="00AC572A">
        <w:t>over 2</w:t>
      </w:r>
      <w:r w:rsidR="00287FE4">
        <w:t xml:space="preserve">50 </w:t>
      </w:r>
      <w:r w:rsidR="00AC572A">
        <w:t xml:space="preserve">independent living units </w:t>
      </w:r>
      <w:r w:rsidR="007D0F10">
        <w:t xml:space="preserve">in the </w:t>
      </w:r>
      <w:proofErr w:type="spellStart"/>
      <w:r w:rsidR="007D0F10">
        <w:t>Terralong</w:t>
      </w:r>
      <w:proofErr w:type="spellEnd"/>
      <w:r w:rsidR="007D0F10">
        <w:t xml:space="preserve"> </w:t>
      </w:r>
      <w:r w:rsidR="00287FE4">
        <w:t xml:space="preserve">and </w:t>
      </w:r>
      <w:proofErr w:type="spellStart"/>
      <w:r w:rsidR="00287FE4">
        <w:t>Bonaira</w:t>
      </w:r>
      <w:proofErr w:type="spellEnd"/>
      <w:r w:rsidR="00287FE4">
        <w:t xml:space="preserve"> </w:t>
      </w:r>
      <w:r w:rsidR="007D0F10">
        <w:t>facilit</w:t>
      </w:r>
      <w:r w:rsidR="00287FE4">
        <w:t>ies</w:t>
      </w:r>
      <w:r w:rsidR="007D0F10">
        <w:t xml:space="preserve">, </w:t>
      </w:r>
      <w:r w:rsidR="00D16751">
        <w:t xml:space="preserve">over 130 beds in the aged care facility at </w:t>
      </w:r>
      <w:proofErr w:type="spellStart"/>
      <w:r w:rsidR="00D16751">
        <w:t>Bonaira</w:t>
      </w:r>
      <w:proofErr w:type="spellEnd"/>
      <w:r w:rsidR="00D16751">
        <w:t xml:space="preserve">, as well as operating home care services </w:t>
      </w:r>
      <w:r w:rsidR="00284359">
        <w:t>covering residents from Shoalhaven, Kiama, Shellharbour and Wollongong</w:t>
      </w:r>
      <w:r w:rsidR="00DD4572">
        <w:t>.</w:t>
      </w:r>
      <w:r w:rsidR="00A10707">
        <w:t xml:space="preserve"> </w:t>
      </w:r>
      <w:r w:rsidR="0099700B">
        <w:t>Emphasis on the provision of high quality a</w:t>
      </w:r>
      <w:r w:rsidR="00DC4543">
        <w:t xml:space="preserve">ged care </w:t>
      </w:r>
      <w:r w:rsidR="0099700B">
        <w:t xml:space="preserve">has been one of the defining features of Kiama </w:t>
      </w:r>
      <w:r w:rsidR="001900DE">
        <w:t xml:space="preserve">Council and </w:t>
      </w:r>
      <w:r w:rsidR="00502F9E">
        <w:t xml:space="preserve">the </w:t>
      </w:r>
      <w:r w:rsidR="00F94AF2">
        <w:t xml:space="preserve">Kiama </w:t>
      </w:r>
      <w:r w:rsidR="00502F9E">
        <w:t>local government area</w:t>
      </w:r>
      <w:r w:rsidR="0099700B">
        <w:t xml:space="preserve"> for a number of decades.</w:t>
      </w:r>
      <w:r w:rsidR="00484C63">
        <w:t xml:space="preserve"> </w:t>
      </w:r>
    </w:p>
    <w:p w14:paraId="21FFBF7F" w14:textId="6918D4DC" w:rsidR="005F7EF1" w:rsidRDefault="005F31B1" w:rsidP="00FD1261">
      <w:pPr>
        <w:spacing w:after="240"/>
        <w:jc w:val="both"/>
      </w:pPr>
      <w:r>
        <w:t xml:space="preserve">Kiama’s focus </w:t>
      </w:r>
      <w:r w:rsidR="002D1402">
        <w:t>on aged care is n</w:t>
      </w:r>
      <w:r w:rsidR="00043687">
        <w:t>ot surprising</w:t>
      </w:r>
      <w:r w:rsidR="002D1402">
        <w:t xml:space="preserve"> </w:t>
      </w:r>
      <w:r w:rsidR="00BA33A6">
        <w:t>given</w:t>
      </w:r>
      <w:r w:rsidR="002D1402">
        <w:t xml:space="preserve"> the</w:t>
      </w:r>
      <w:r>
        <w:t>ir</w:t>
      </w:r>
      <w:r w:rsidR="002D1402">
        <w:t xml:space="preserve"> demographic profile. </w:t>
      </w:r>
      <w:r w:rsidR="00A61CEE">
        <w:t>According to the latest ABS Census statistics, over a quarter of Kiama’s population (</w:t>
      </w:r>
      <w:proofErr w:type="spellStart"/>
      <w:r w:rsidR="00A61CEE">
        <w:t>approx</w:t>
      </w:r>
      <w:proofErr w:type="spellEnd"/>
      <w:r w:rsidR="00A61CEE">
        <w:t xml:space="preserve"> 27.5%) </w:t>
      </w:r>
      <w:r w:rsidR="009F3785">
        <w:t>are</w:t>
      </w:r>
      <w:r w:rsidR="00A61CEE">
        <w:t xml:space="preserve"> aged </w:t>
      </w:r>
      <w:r w:rsidR="00E60399">
        <w:t>at least</w:t>
      </w:r>
      <w:r w:rsidR="00A61CEE">
        <w:t xml:space="preserve"> 65 years, compared to 17% of Australia’s population.</w:t>
      </w:r>
      <w:r w:rsidR="00BF5182">
        <w:t xml:space="preserve"> </w:t>
      </w:r>
      <w:r w:rsidR="00D21F3F">
        <w:t xml:space="preserve">Furthermore, the </w:t>
      </w:r>
      <w:r w:rsidR="00C2179A">
        <w:t xml:space="preserve">percentage of </w:t>
      </w:r>
      <w:r w:rsidR="0060465C">
        <w:t xml:space="preserve">population aged at least 65 years is increasing at a more rapid rate </w:t>
      </w:r>
      <w:r w:rsidR="00D21F3F">
        <w:t>in Kiama compared to Australia as a whole</w:t>
      </w:r>
      <w:r>
        <w:t>,</w:t>
      </w:r>
      <w:r w:rsidR="00D21F3F">
        <w:t xml:space="preserve"> </w:t>
      </w:r>
      <w:r w:rsidR="001F76C9">
        <w:t xml:space="preserve">as evidenced by the widening gap </w:t>
      </w:r>
      <w:r w:rsidR="00213418">
        <w:t xml:space="preserve">over time </w:t>
      </w:r>
      <w:r w:rsidR="0060465C">
        <w:t>evident</w:t>
      </w:r>
      <w:r w:rsidR="001F76C9">
        <w:t xml:space="preserve"> in Figure 1. </w:t>
      </w:r>
    </w:p>
    <w:p w14:paraId="2FE6AB91" w14:textId="4186FF64" w:rsidR="005F7EF1" w:rsidRPr="005F31B1" w:rsidRDefault="00763E87" w:rsidP="00FD1261">
      <w:pPr>
        <w:spacing w:after="240"/>
        <w:jc w:val="both"/>
        <w:rPr>
          <w:b/>
          <w:bCs/>
        </w:rPr>
      </w:pPr>
      <w:r w:rsidRPr="005F31B1">
        <w:rPr>
          <w:b/>
          <w:bCs/>
        </w:rPr>
        <w:t>Figure 1. Percentage of Population Aged 65 and Over</w:t>
      </w:r>
      <w:r w:rsidR="005F31B1">
        <w:rPr>
          <w:b/>
          <w:bCs/>
        </w:rPr>
        <w:t xml:space="preserve"> (Kiama LGA and Australia)</w:t>
      </w:r>
    </w:p>
    <w:p w14:paraId="51A339E9" w14:textId="6A0169A5" w:rsidR="005F7EF1" w:rsidRDefault="005F7EF1" w:rsidP="00FD1261">
      <w:pPr>
        <w:spacing w:after="240"/>
        <w:jc w:val="both"/>
      </w:pPr>
      <w:r>
        <w:rPr>
          <w:noProof/>
        </w:rPr>
        <w:drawing>
          <wp:inline distT="0" distB="0" distL="0" distR="0" wp14:anchorId="533ED301" wp14:editId="2C31B511">
            <wp:extent cx="4572000" cy="2743200"/>
            <wp:effectExtent l="0" t="0" r="12700" b="12700"/>
            <wp:docPr id="1" name="Chart 1">
              <a:extLst xmlns:a="http://schemas.openxmlformats.org/drawingml/2006/main">
                <a:ext uri="{FF2B5EF4-FFF2-40B4-BE49-F238E27FC236}">
                  <a16:creationId xmlns:a16="http://schemas.microsoft.com/office/drawing/2014/main" id="{C895A7C6-0CBD-9104-B4FE-2C0304FBFC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7AD8462" w14:textId="78AADAB4" w:rsidR="00213418" w:rsidRDefault="008F78C3" w:rsidP="00FD1261">
      <w:pPr>
        <w:spacing w:after="240"/>
        <w:jc w:val="both"/>
      </w:pPr>
      <w:r>
        <w:t xml:space="preserve">Source: </w:t>
      </w:r>
      <w:r w:rsidR="0032541D">
        <w:t xml:space="preserve">Australian Bureau of Statistics, Census of Population and Housing </w:t>
      </w:r>
    </w:p>
    <w:p w14:paraId="76713E8E" w14:textId="792CFD13" w:rsidR="005F31B1" w:rsidRDefault="00382B4F" w:rsidP="00FD1261">
      <w:pPr>
        <w:spacing w:after="240"/>
        <w:jc w:val="both"/>
      </w:pPr>
      <w:r>
        <w:lastRenderedPageBreak/>
        <w:t>Furthermore, Blue Haven is currently a significant employer in the Kiama labour market, accounting for approximately 250 workers or 4% of the entire Kiama labour market.</w:t>
      </w:r>
    </w:p>
    <w:p w14:paraId="1277283A" w14:textId="4DF5BAD6" w:rsidR="008B718C" w:rsidRDefault="00E04DFD" w:rsidP="00FD1261">
      <w:pPr>
        <w:spacing w:after="240"/>
        <w:jc w:val="both"/>
        <w:outlineLvl w:val="5"/>
      </w:pPr>
      <w:r>
        <w:t>This report was</w:t>
      </w:r>
      <w:r w:rsidR="00382B4F">
        <w:t xml:space="preserve"> requested by the United Services Union</w:t>
      </w:r>
      <w:r>
        <w:t xml:space="preserve"> in response to </w:t>
      </w:r>
      <w:r w:rsidR="0097535E">
        <w:t>Kiama Council</w:t>
      </w:r>
      <w:r>
        <w:t>’s</w:t>
      </w:r>
      <w:r w:rsidR="0097535E">
        <w:t xml:space="preserve"> </w:t>
      </w:r>
      <w:r>
        <w:t xml:space="preserve">plans to </w:t>
      </w:r>
      <w:r w:rsidR="0008053B">
        <w:t>divest</w:t>
      </w:r>
      <w:r>
        <w:t xml:space="preserve"> Blue Haven </w:t>
      </w:r>
      <w:r w:rsidR="00CB4982">
        <w:t>assets</w:t>
      </w:r>
      <w:r>
        <w:t xml:space="preserve">. The analysis seeks to document the impact of </w:t>
      </w:r>
      <w:r w:rsidR="006B3151">
        <w:t xml:space="preserve">this decision on the key stakeholder groups of Blue Haven residents, Blue Haven employees, </w:t>
      </w:r>
      <w:r w:rsidR="002D492C">
        <w:t xml:space="preserve">and </w:t>
      </w:r>
      <w:r w:rsidR="006B3151">
        <w:t>Kiama</w:t>
      </w:r>
      <w:r w:rsidR="00FC5287">
        <w:t xml:space="preserve"> rate payers and community</w:t>
      </w:r>
      <w:r w:rsidR="00955BFC">
        <w:t>.</w:t>
      </w:r>
      <w:r w:rsidR="0097535E">
        <w:t xml:space="preserve"> </w:t>
      </w:r>
    </w:p>
    <w:p w14:paraId="0265C231" w14:textId="77777777" w:rsidR="000C2BEB" w:rsidRDefault="000C2BEB" w:rsidP="00FD1261">
      <w:pPr>
        <w:spacing w:after="240"/>
        <w:jc w:val="both"/>
        <w:rPr>
          <w:b/>
          <w:bCs/>
        </w:rPr>
      </w:pPr>
    </w:p>
    <w:p w14:paraId="0BDFC98D" w14:textId="27B914F5" w:rsidR="00C40D0E" w:rsidRPr="006B0690" w:rsidRDefault="005D612C" w:rsidP="00FD1261">
      <w:pPr>
        <w:spacing w:after="240"/>
        <w:jc w:val="both"/>
        <w:rPr>
          <w:b/>
          <w:bCs/>
        </w:rPr>
      </w:pPr>
      <w:r w:rsidRPr="006B0690">
        <w:rPr>
          <w:b/>
          <w:bCs/>
        </w:rPr>
        <w:t xml:space="preserve">Blue Haven </w:t>
      </w:r>
      <w:r w:rsidR="00C40D0E" w:rsidRPr="006B0690">
        <w:rPr>
          <w:b/>
          <w:bCs/>
        </w:rPr>
        <w:t>Residents</w:t>
      </w:r>
    </w:p>
    <w:p w14:paraId="7D80B04E" w14:textId="4DF06E69" w:rsidR="00EF3A8C" w:rsidRDefault="007F10F2" w:rsidP="00FD1261">
      <w:pPr>
        <w:spacing w:after="240"/>
        <w:jc w:val="both"/>
      </w:pPr>
      <w:r>
        <w:t xml:space="preserve">Discussions with Blue Haven </w:t>
      </w:r>
      <w:r w:rsidR="006D5A11">
        <w:t xml:space="preserve">residents </w:t>
      </w:r>
      <w:r w:rsidR="0069458F">
        <w:t xml:space="preserve">established that many </w:t>
      </w:r>
      <w:r w:rsidR="006D5A11">
        <w:t xml:space="preserve">bought into Blue Haven because of the </w:t>
      </w:r>
      <w:r w:rsidR="00C209C2">
        <w:t xml:space="preserve">safety </w:t>
      </w:r>
      <w:r w:rsidR="00B14E4D">
        <w:t xml:space="preserve">and reputation </w:t>
      </w:r>
      <w:r w:rsidR="00C209C2">
        <w:t>of Kiama Council</w:t>
      </w:r>
      <w:r w:rsidR="009B0EBF">
        <w:t xml:space="preserve"> </w:t>
      </w:r>
      <w:r w:rsidR="00B14E4D">
        <w:t>ownership and control</w:t>
      </w:r>
      <w:r w:rsidR="00DF4ACD">
        <w:t>.</w:t>
      </w:r>
      <w:r w:rsidR="001C4430">
        <w:t xml:space="preserve"> </w:t>
      </w:r>
      <w:r w:rsidR="00191759" w:rsidRPr="00191759">
        <w:t xml:space="preserve">Many residents sold their home in order to relocate to Blue Haven. The majority of their life savings are tied to Blue </w:t>
      </w:r>
      <w:proofErr w:type="gramStart"/>
      <w:r w:rsidR="00191759" w:rsidRPr="00191759">
        <w:t>Haven</w:t>
      </w:r>
      <w:proofErr w:type="gramEnd"/>
      <w:r w:rsidR="00191759" w:rsidRPr="00191759">
        <w:t xml:space="preserve"> and most are not in a financial or practical position to move elsewhere if circumstances change under new ownership. Under current contractual arrangements, after residing in Blue Haven for 5 years residents will receive back only 70% of the original price paid (not market price) if they choose to sell. Furthermore, residents may have to wait between 2 weeks to 6 months after vacating their premises to receive these funds (Blue Haven 2021).  For many, these conditions will effectively trap them in Blue Haven as they will not be able to access funds to purchase elsewhere. In addition, uncertainty regarding the new ownership of Blue Haven has affected both residents’ mental health and financial security. </w:t>
      </w:r>
      <w:r w:rsidR="009E577D">
        <w:t xml:space="preserve"> </w:t>
      </w:r>
      <w:r w:rsidR="006E70F0">
        <w:t xml:space="preserve"> </w:t>
      </w:r>
    </w:p>
    <w:p w14:paraId="14D52F35" w14:textId="7863F3B6" w:rsidR="003F7836" w:rsidRDefault="008A1749" w:rsidP="00FD1261">
      <w:pPr>
        <w:spacing w:after="240"/>
        <w:jc w:val="both"/>
        <w:rPr>
          <w:rFonts w:cstheme="minorHAnsi"/>
        </w:rPr>
      </w:pPr>
      <w:r>
        <w:t xml:space="preserve">Based upon findings </w:t>
      </w:r>
      <w:r w:rsidRPr="00511BB2">
        <w:rPr>
          <w:rFonts w:cstheme="minorHAnsi"/>
        </w:rPr>
        <w:t xml:space="preserve">from the Royal Commission </w:t>
      </w:r>
      <w:r w:rsidRPr="00BF2654">
        <w:rPr>
          <w:rFonts w:cstheme="minorHAnsi"/>
        </w:rPr>
        <w:t>into Aged Care Quality and Safety</w:t>
      </w:r>
      <w:r w:rsidR="00BF2654">
        <w:rPr>
          <w:rFonts w:cstheme="minorHAnsi"/>
        </w:rPr>
        <w:t>,</w:t>
      </w:r>
      <w:r>
        <w:t xml:space="preserve"> </w:t>
      </w:r>
      <w:r w:rsidR="00BF2654">
        <w:t>d</w:t>
      </w:r>
      <w:r w:rsidR="00EF3A8C">
        <w:t>ivestment</w:t>
      </w:r>
      <w:r w:rsidR="00B202AC">
        <w:t xml:space="preserve"> of Blue Have</w:t>
      </w:r>
      <w:r w:rsidR="00FD50EE">
        <w:t xml:space="preserve"> </w:t>
      </w:r>
      <w:r w:rsidR="00B202AC">
        <w:t xml:space="preserve">will likely result in poor quality aged care outcomes for </w:t>
      </w:r>
      <w:r w:rsidR="00BF2654">
        <w:t xml:space="preserve">Blue Haven </w:t>
      </w:r>
      <w:r w:rsidR="00671FC5">
        <w:t>residents.</w:t>
      </w:r>
      <w:r w:rsidR="00511BB2">
        <w:t xml:space="preserve"> </w:t>
      </w:r>
      <w:r w:rsidR="00EF3A8C" w:rsidRPr="00511BB2">
        <w:rPr>
          <w:rFonts w:cstheme="minorHAnsi"/>
        </w:rPr>
        <w:t xml:space="preserve">Royal Commission </w:t>
      </w:r>
      <w:r w:rsidR="00BF2654">
        <w:rPr>
          <w:rFonts w:cstheme="minorHAnsi"/>
        </w:rPr>
        <w:t xml:space="preserve">recommendations were </w:t>
      </w:r>
      <w:r w:rsidR="00EF3A8C" w:rsidRPr="00511BB2">
        <w:rPr>
          <w:rFonts w:cstheme="minorHAnsi"/>
        </w:rPr>
        <w:t>unequivocal in stating that government-run aged care facilities provided better outcomes for residents compared to for-profit and not-for-profit facilities.</w:t>
      </w:r>
    </w:p>
    <w:p w14:paraId="3FF5DF37" w14:textId="376D7B36" w:rsidR="000D78F5" w:rsidRDefault="00EF3A8C" w:rsidP="0050277A">
      <w:pPr>
        <w:pStyle w:val="ListParagraph"/>
        <w:numPr>
          <w:ilvl w:val="0"/>
          <w:numId w:val="7"/>
        </w:numPr>
        <w:spacing w:after="240"/>
        <w:ind w:left="714" w:hanging="357"/>
        <w:contextualSpacing w:val="0"/>
        <w:jc w:val="both"/>
        <w:rPr>
          <w:rFonts w:cstheme="minorHAnsi"/>
          <w:color w:val="000000"/>
        </w:rPr>
      </w:pPr>
      <w:r w:rsidRPr="00DA4295">
        <w:rPr>
          <w:rFonts w:cstheme="minorHAnsi"/>
        </w:rPr>
        <w:t xml:space="preserve">University of Queensland research </w:t>
      </w:r>
      <w:r w:rsidR="00B053E8" w:rsidRPr="00DA4295">
        <w:rPr>
          <w:rFonts w:cstheme="minorHAnsi"/>
        </w:rPr>
        <w:t>cited in the Royal Commission established</w:t>
      </w:r>
      <w:r w:rsidRPr="00DA4295">
        <w:rPr>
          <w:rFonts w:cstheme="minorHAnsi"/>
        </w:rPr>
        <w:t xml:space="preserve"> that government-run facilities provided great quality of care</w:t>
      </w:r>
      <w:r w:rsidR="00091B68" w:rsidRPr="00DA4295">
        <w:rPr>
          <w:rFonts w:cstheme="minorHAnsi"/>
        </w:rPr>
        <w:t xml:space="preserve"> for residents</w:t>
      </w:r>
      <w:r w:rsidRPr="00DA4295">
        <w:rPr>
          <w:rFonts w:cstheme="minorHAnsi"/>
        </w:rPr>
        <w:t xml:space="preserve">. </w:t>
      </w:r>
      <w:r w:rsidRPr="00DA4295">
        <w:rPr>
          <w:rFonts w:cstheme="minorHAnsi"/>
          <w:color w:val="000000"/>
        </w:rPr>
        <w:t xml:space="preserve">Government-owned facilities were more likely to </w:t>
      </w:r>
      <w:r w:rsidR="00091B68" w:rsidRPr="00DA4295">
        <w:rPr>
          <w:rFonts w:cstheme="minorHAnsi"/>
          <w:color w:val="000000"/>
        </w:rPr>
        <w:t xml:space="preserve">receive the </w:t>
      </w:r>
      <w:r w:rsidRPr="00DA4295">
        <w:rPr>
          <w:rFonts w:cstheme="minorHAnsi"/>
          <w:color w:val="000000"/>
        </w:rPr>
        <w:t>highe</w:t>
      </w:r>
      <w:r w:rsidR="00091B68" w:rsidRPr="00DA4295">
        <w:rPr>
          <w:rFonts w:cstheme="minorHAnsi"/>
          <w:color w:val="000000"/>
        </w:rPr>
        <w:t>st</w:t>
      </w:r>
      <w:r w:rsidRPr="00DA4295">
        <w:rPr>
          <w:rFonts w:cstheme="minorHAnsi"/>
          <w:color w:val="000000"/>
        </w:rPr>
        <w:t xml:space="preserve"> quality </w:t>
      </w:r>
      <w:r w:rsidR="005B5B22" w:rsidRPr="00DA4295">
        <w:rPr>
          <w:rFonts w:cstheme="minorHAnsi"/>
          <w:color w:val="000000"/>
        </w:rPr>
        <w:t xml:space="preserve">rating of </w:t>
      </w:r>
      <w:r w:rsidRPr="00DA4295">
        <w:rPr>
          <w:rFonts w:cstheme="minorHAnsi"/>
          <w:color w:val="000000"/>
        </w:rPr>
        <w:t>Q1, with for-profit providers overrepresented in the lowe</w:t>
      </w:r>
      <w:r w:rsidR="005B5B22" w:rsidRPr="00DA4295">
        <w:rPr>
          <w:rFonts w:cstheme="minorHAnsi"/>
          <w:color w:val="000000"/>
        </w:rPr>
        <w:t>st</w:t>
      </w:r>
      <w:r w:rsidRPr="00DA4295">
        <w:rPr>
          <w:rFonts w:cstheme="minorHAnsi"/>
          <w:color w:val="000000"/>
        </w:rPr>
        <w:t xml:space="preserve"> quality</w:t>
      </w:r>
      <w:r w:rsidR="005B5B22" w:rsidRPr="00DA4295">
        <w:rPr>
          <w:rFonts w:cstheme="minorHAnsi"/>
          <w:color w:val="000000"/>
        </w:rPr>
        <w:t xml:space="preserve"> ranking (</w:t>
      </w:r>
      <w:r w:rsidRPr="00DA4295">
        <w:rPr>
          <w:rFonts w:cstheme="minorHAnsi"/>
          <w:color w:val="000000"/>
        </w:rPr>
        <w:t>Q3) (Royal Commission Final Report Volume 2, p 166)</w:t>
      </w:r>
      <w:r w:rsidR="000D78F5" w:rsidRPr="00DA4295">
        <w:rPr>
          <w:rFonts w:cstheme="minorHAnsi"/>
          <w:color w:val="000000"/>
        </w:rPr>
        <w:t>.</w:t>
      </w:r>
    </w:p>
    <w:p w14:paraId="7E1C88B3" w14:textId="186B7013" w:rsidR="005F1253" w:rsidRPr="0050277A" w:rsidRDefault="00A11226" w:rsidP="0050277A">
      <w:pPr>
        <w:pStyle w:val="ListParagraph"/>
        <w:jc w:val="both"/>
        <w:rPr>
          <w:rFonts w:cstheme="minorHAnsi"/>
          <w:b/>
          <w:bCs/>
          <w:color w:val="000000"/>
        </w:rPr>
      </w:pPr>
      <w:r w:rsidRPr="0050277A">
        <w:rPr>
          <w:rFonts w:cstheme="minorHAnsi"/>
          <w:b/>
          <w:bCs/>
          <w:color w:val="000000"/>
        </w:rPr>
        <w:t>Table 1. Number and Proportion of Residential Services Across Different Quality levels by Service Provider Type</w:t>
      </w:r>
    </w:p>
    <w:tbl>
      <w:tblPr>
        <w:tblStyle w:val="TableGrid"/>
        <w:tblW w:w="0" w:type="auto"/>
        <w:tblInd w:w="720" w:type="dxa"/>
        <w:tblLook w:val="04A0" w:firstRow="1" w:lastRow="0" w:firstColumn="1" w:lastColumn="0" w:noHBand="0" w:noVBand="1"/>
      </w:tblPr>
      <w:tblGrid>
        <w:gridCol w:w="1659"/>
        <w:gridCol w:w="1659"/>
        <w:gridCol w:w="1659"/>
        <w:gridCol w:w="1659"/>
        <w:gridCol w:w="1660"/>
      </w:tblGrid>
      <w:tr w:rsidR="00805BFC" w14:paraId="0CFF7D97" w14:textId="77777777" w:rsidTr="0050277A">
        <w:tc>
          <w:tcPr>
            <w:tcW w:w="1659" w:type="dxa"/>
          </w:tcPr>
          <w:p w14:paraId="25CC5ACE" w14:textId="441DA122" w:rsidR="00805BFC" w:rsidRDefault="00805BFC" w:rsidP="0050277A">
            <w:pPr>
              <w:pStyle w:val="ListParagraph"/>
              <w:spacing w:after="240"/>
              <w:ind w:left="0"/>
              <w:rPr>
                <w:rFonts w:cstheme="minorHAnsi"/>
                <w:color w:val="000000"/>
              </w:rPr>
            </w:pPr>
            <w:r>
              <w:rPr>
                <w:rFonts w:ascii="Helvetica" w:hAnsi="Helvetica" w:cs="Calibri"/>
                <w:b/>
                <w:bCs/>
                <w:color w:val="000000"/>
                <w:sz w:val="18"/>
                <w:szCs w:val="18"/>
              </w:rPr>
              <w:t>Service provider type, n (%) </w:t>
            </w:r>
          </w:p>
        </w:tc>
        <w:tc>
          <w:tcPr>
            <w:tcW w:w="1659" w:type="dxa"/>
          </w:tcPr>
          <w:p w14:paraId="2BC4516D" w14:textId="3FBB69F2" w:rsidR="00805BFC" w:rsidRDefault="00805BFC" w:rsidP="0050277A">
            <w:pPr>
              <w:pStyle w:val="ListParagraph"/>
              <w:spacing w:after="240"/>
              <w:ind w:left="0"/>
              <w:rPr>
                <w:rFonts w:cstheme="minorHAnsi"/>
                <w:color w:val="000000"/>
              </w:rPr>
            </w:pPr>
            <w:r>
              <w:rPr>
                <w:rFonts w:ascii="Helvetica" w:hAnsi="Helvetica" w:cs="Calibri"/>
                <w:b/>
                <w:bCs/>
                <w:color w:val="000000"/>
                <w:sz w:val="18"/>
                <w:szCs w:val="18"/>
              </w:rPr>
              <w:t>Q1 </w:t>
            </w:r>
          </w:p>
        </w:tc>
        <w:tc>
          <w:tcPr>
            <w:tcW w:w="1659" w:type="dxa"/>
          </w:tcPr>
          <w:p w14:paraId="25748C1B" w14:textId="13DC4587" w:rsidR="00805BFC" w:rsidRDefault="00805BFC" w:rsidP="0050277A">
            <w:pPr>
              <w:pStyle w:val="ListParagraph"/>
              <w:spacing w:after="240"/>
              <w:ind w:left="0"/>
              <w:rPr>
                <w:rFonts w:cstheme="minorHAnsi"/>
                <w:color w:val="000000"/>
              </w:rPr>
            </w:pPr>
            <w:r>
              <w:rPr>
                <w:rFonts w:ascii="Helvetica" w:hAnsi="Helvetica" w:cs="Calibri"/>
                <w:b/>
                <w:bCs/>
                <w:color w:val="000000"/>
                <w:sz w:val="18"/>
                <w:szCs w:val="18"/>
              </w:rPr>
              <w:t>Q2 </w:t>
            </w:r>
          </w:p>
        </w:tc>
        <w:tc>
          <w:tcPr>
            <w:tcW w:w="1659" w:type="dxa"/>
          </w:tcPr>
          <w:p w14:paraId="032FA28E" w14:textId="04641301" w:rsidR="00805BFC" w:rsidRDefault="00805BFC" w:rsidP="0050277A">
            <w:pPr>
              <w:pStyle w:val="ListParagraph"/>
              <w:spacing w:after="240"/>
              <w:ind w:left="0"/>
              <w:rPr>
                <w:rFonts w:cstheme="minorHAnsi"/>
                <w:color w:val="000000"/>
              </w:rPr>
            </w:pPr>
            <w:r>
              <w:rPr>
                <w:rFonts w:ascii="Helvetica" w:hAnsi="Helvetica" w:cs="Calibri"/>
                <w:b/>
                <w:bCs/>
                <w:color w:val="000000"/>
                <w:sz w:val="18"/>
                <w:szCs w:val="18"/>
              </w:rPr>
              <w:t>Q3 </w:t>
            </w:r>
          </w:p>
        </w:tc>
        <w:tc>
          <w:tcPr>
            <w:tcW w:w="1660" w:type="dxa"/>
          </w:tcPr>
          <w:p w14:paraId="557BE4A5" w14:textId="17E42A9E" w:rsidR="00805BFC" w:rsidRDefault="00805BFC" w:rsidP="0050277A">
            <w:pPr>
              <w:pStyle w:val="ListParagraph"/>
              <w:spacing w:after="240"/>
              <w:ind w:left="0"/>
              <w:rPr>
                <w:rFonts w:cstheme="minorHAnsi"/>
                <w:color w:val="000000"/>
              </w:rPr>
            </w:pPr>
            <w:r>
              <w:rPr>
                <w:rFonts w:ascii="Helvetica" w:hAnsi="Helvetica" w:cs="Calibri"/>
                <w:b/>
                <w:bCs/>
                <w:color w:val="000000"/>
                <w:sz w:val="18"/>
                <w:szCs w:val="18"/>
              </w:rPr>
              <w:t>Total</w:t>
            </w:r>
          </w:p>
        </w:tc>
      </w:tr>
      <w:tr w:rsidR="00805BFC" w14:paraId="7B3753FF" w14:textId="77777777" w:rsidTr="0050277A">
        <w:tc>
          <w:tcPr>
            <w:tcW w:w="1659" w:type="dxa"/>
          </w:tcPr>
          <w:p w14:paraId="4081C6B3" w14:textId="58BBE8DF" w:rsidR="00805BFC" w:rsidRDefault="00805BFC" w:rsidP="0050277A">
            <w:pPr>
              <w:pStyle w:val="ListParagraph"/>
              <w:spacing w:after="240"/>
              <w:ind w:left="0"/>
              <w:rPr>
                <w:rFonts w:cstheme="minorHAnsi"/>
                <w:color w:val="000000"/>
              </w:rPr>
            </w:pPr>
            <w:r>
              <w:rPr>
                <w:rFonts w:ascii="Helvetica" w:hAnsi="Helvetica" w:cs="Calibri"/>
                <w:color w:val="000000"/>
                <w:sz w:val="20"/>
                <w:szCs w:val="20"/>
              </w:rPr>
              <w:t>Not-for-profit </w:t>
            </w:r>
          </w:p>
        </w:tc>
        <w:tc>
          <w:tcPr>
            <w:tcW w:w="1659" w:type="dxa"/>
          </w:tcPr>
          <w:p w14:paraId="4DB08762" w14:textId="3BE195EB" w:rsidR="00805BFC" w:rsidRDefault="00805BFC" w:rsidP="0050277A">
            <w:pPr>
              <w:pStyle w:val="ListParagraph"/>
              <w:spacing w:after="240"/>
              <w:ind w:left="0"/>
              <w:rPr>
                <w:rFonts w:cstheme="minorHAnsi"/>
                <w:color w:val="000000"/>
              </w:rPr>
            </w:pPr>
            <w:r>
              <w:rPr>
                <w:rFonts w:ascii="Helvetica" w:hAnsi="Helvetica" w:cs="Calibri"/>
                <w:color w:val="000000"/>
                <w:sz w:val="20"/>
                <w:szCs w:val="20"/>
              </w:rPr>
              <w:t>207 (13%) </w:t>
            </w:r>
          </w:p>
        </w:tc>
        <w:tc>
          <w:tcPr>
            <w:tcW w:w="1659" w:type="dxa"/>
          </w:tcPr>
          <w:p w14:paraId="0846A9F3" w14:textId="58412938" w:rsidR="00805BFC" w:rsidRDefault="00805BFC" w:rsidP="0050277A">
            <w:pPr>
              <w:pStyle w:val="ListParagraph"/>
              <w:spacing w:after="240"/>
              <w:ind w:left="0"/>
              <w:rPr>
                <w:rFonts w:cstheme="minorHAnsi"/>
                <w:color w:val="000000"/>
              </w:rPr>
            </w:pPr>
            <w:r>
              <w:rPr>
                <w:rFonts w:ascii="Helvetica" w:hAnsi="Helvetica" w:cs="Calibri"/>
                <w:color w:val="000000"/>
                <w:sz w:val="20"/>
                <w:szCs w:val="20"/>
              </w:rPr>
              <w:t>1,273 (78%) </w:t>
            </w:r>
          </w:p>
        </w:tc>
        <w:tc>
          <w:tcPr>
            <w:tcW w:w="1659" w:type="dxa"/>
          </w:tcPr>
          <w:p w14:paraId="19F27F9C" w14:textId="56D722CF" w:rsidR="00805BFC" w:rsidRDefault="00805BFC" w:rsidP="0050277A">
            <w:pPr>
              <w:pStyle w:val="ListParagraph"/>
              <w:spacing w:after="240"/>
              <w:ind w:left="0"/>
              <w:rPr>
                <w:rFonts w:cstheme="minorHAnsi"/>
                <w:color w:val="000000"/>
              </w:rPr>
            </w:pPr>
            <w:r>
              <w:rPr>
                <w:rFonts w:ascii="Helvetica Neue" w:hAnsi="Helvetica Neue" w:cs="Calibri"/>
                <w:color w:val="000000"/>
                <w:sz w:val="20"/>
                <w:szCs w:val="20"/>
              </w:rPr>
              <w:t>162 (10%) </w:t>
            </w:r>
          </w:p>
        </w:tc>
        <w:tc>
          <w:tcPr>
            <w:tcW w:w="1660" w:type="dxa"/>
          </w:tcPr>
          <w:p w14:paraId="07163D38" w14:textId="2743A08E" w:rsidR="00805BFC" w:rsidRDefault="00805BFC" w:rsidP="0050277A">
            <w:pPr>
              <w:pStyle w:val="ListParagraph"/>
              <w:spacing w:after="240"/>
              <w:ind w:left="0"/>
              <w:rPr>
                <w:rFonts w:cstheme="minorHAnsi"/>
                <w:color w:val="000000"/>
              </w:rPr>
            </w:pPr>
            <w:r>
              <w:rPr>
                <w:rFonts w:ascii="Helvetica Neue" w:hAnsi="Helvetica Neue" w:cs="Calibri"/>
                <w:color w:val="000000"/>
                <w:sz w:val="20"/>
                <w:szCs w:val="20"/>
              </w:rPr>
              <w:t>1,642 (100%)</w:t>
            </w:r>
          </w:p>
        </w:tc>
      </w:tr>
      <w:tr w:rsidR="00805BFC" w14:paraId="4001B2E7" w14:textId="77777777" w:rsidTr="0050277A">
        <w:tc>
          <w:tcPr>
            <w:tcW w:w="1659" w:type="dxa"/>
          </w:tcPr>
          <w:p w14:paraId="149E68DB" w14:textId="5D69CE52" w:rsidR="00805BFC" w:rsidRDefault="00805BFC" w:rsidP="0050277A">
            <w:pPr>
              <w:pStyle w:val="ListParagraph"/>
              <w:spacing w:after="240"/>
              <w:ind w:left="0"/>
              <w:rPr>
                <w:rFonts w:cstheme="minorHAnsi"/>
                <w:color w:val="000000"/>
              </w:rPr>
            </w:pPr>
            <w:r>
              <w:rPr>
                <w:rFonts w:ascii="Helvetica" w:hAnsi="Helvetica" w:cs="Calibri"/>
                <w:color w:val="000000"/>
                <w:sz w:val="20"/>
                <w:szCs w:val="20"/>
              </w:rPr>
              <w:t>For-profit </w:t>
            </w:r>
          </w:p>
        </w:tc>
        <w:tc>
          <w:tcPr>
            <w:tcW w:w="1659" w:type="dxa"/>
          </w:tcPr>
          <w:p w14:paraId="1C295FEB" w14:textId="3F1D1281" w:rsidR="00805BFC" w:rsidRDefault="00805BFC" w:rsidP="0050277A">
            <w:pPr>
              <w:pStyle w:val="ListParagraph"/>
              <w:spacing w:after="240"/>
              <w:ind w:left="0"/>
              <w:rPr>
                <w:rFonts w:cstheme="minorHAnsi"/>
                <w:color w:val="000000"/>
              </w:rPr>
            </w:pPr>
            <w:r>
              <w:rPr>
                <w:rFonts w:ascii="Helvetica" w:hAnsi="Helvetica" w:cs="Calibri"/>
                <w:color w:val="000000"/>
                <w:sz w:val="20"/>
                <w:szCs w:val="20"/>
              </w:rPr>
              <w:t>35 (4%) </w:t>
            </w:r>
          </w:p>
        </w:tc>
        <w:tc>
          <w:tcPr>
            <w:tcW w:w="1659" w:type="dxa"/>
          </w:tcPr>
          <w:p w14:paraId="7A518359" w14:textId="595BBC39" w:rsidR="00805BFC" w:rsidRDefault="00805BFC" w:rsidP="0050277A">
            <w:pPr>
              <w:pStyle w:val="ListParagraph"/>
              <w:spacing w:after="240"/>
              <w:ind w:left="0"/>
              <w:rPr>
                <w:rFonts w:cstheme="minorHAnsi"/>
                <w:color w:val="000000"/>
              </w:rPr>
            </w:pPr>
            <w:r>
              <w:rPr>
                <w:rFonts w:ascii="Helvetica" w:hAnsi="Helvetica" w:cs="Calibri"/>
                <w:color w:val="000000"/>
                <w:sz w:val="20"/>
                <w:szCs w:val="20"/>
              </w:rPr>
              <w:t>793 (82%) </w:t>
            </w:r>
          </w:p>
        </w:tc>
        <w:tc>
          <w:tcPr>
            <w:tcW w:w="1659" w:type="dxa"/>
          </w:tcPr>
          <w:p w14:paraId="2428EA64" w14:textId="2F50BCFC" w:rsidR="00805BFC" w:rsidRDefault="00805BFC" w:rsidP="0050277A">
            <w:pPr>
              <w:pStyle w:val="ListParagraph"/>
              <w:spacing w:after="240"/>
              <w:ind w:left="0"/>
              <w:rPr>
                <w:rFonts w:cstheme="minorHAnsi"/>
                <w:color w:val="000000"/>
              </w:rPr>
            </w:pPr>
            <w:r>
              <w:rPr>
                <w:rFonts w:ascii="Helvetica Neue" w:hAnsi="Helvetica Neue" w:cs="Calibri"/>
                <w:color w:val="000000"/>
                <w:sz w:val="20"/>
                <w:szCs w:val="20"/>
              </w:rPr>
              <w:t>132 (14%) </w:t>
            </w:r>
          </w:p>
        </w:tc>
        <w:tc>
          <w:tcPr>
            <w:tcW w:w="1660" w:type="dxa"/>
          </w:tcPr>
          <w:p w14:paraId="50B4B7F3" w14:textId="6873210E" w:rsidR="00805BFC" w:rsidRDefault="00805BFC" w:rsidP="0050277A">
            <w:pPr>
              <w:pStyle w:val="ListParagraph"/>
              <w:spacing w:after="240"/>
              <w:ind w:left="0"/>
              <w:rPr>
                <w:rFonts w:cstheme="minorHAnsi"/>
                <w:color w:val="000000"/>
              </w:rPr>
            </w:pPr>
            <w:r>
              <w:rPr>
                <w:rFonts w:ascii="Helvetica Neue" w:hAnsi="Helvetica Neue" w:cs="Calibri"/>
                <w:color w:val="000000"/>
                <w:sz w:val="20"/>
                <w:szCs w:val="20"/>
              </w:rPr>
              <w:t>960 (100%)</w:t>
            </w:r>
          </w:p>
        </w:tc>
      </w:tr>
      <w:tr w:rsidR="00805BFC" w14:paraId="2BA6B900" w14:textId="77777777" w:rsidTr="0050277A">
        <w:tc>
          <w:tcPr>
            <w:tcW w:w="1659" w:type="dxa"/>
          </w:tcPr>
          <w:p w14:paraId="1C3928A7" w14:textId="04A330A6" w:rsidR="00805BFC" w:rsidRDefault="00805BFC" w:rsidP="0050277A">
            <w:pPr>
              <w:pStyle w:val="ListParagraph"/>
              <w:spacing w:after="240"/>
              <w:ind w:left="0"/>
              <w:rPr>
                <w:rFonts w:cstheme="minorHAnsi"/>
                <w:color w:val="000000"/>
              </w:rPr>
            </w:pPr>
            <w:r>
              <w:rPr>
                <w:rFonts w:ascii="Helvetica" w:hAnsi="Helvetica" w:cs="Calibri"/>
                <w:color w:val="000000"/>
                <w:sz w:val="20"/>
                <w:szCs w:val="20"/>
              </w:rPr>
              <w:t>Government </w:t>
            </w:r>
          </w:p>
        </w:tc>
        <w:tc>
          <w:tcPr>
            <w:tcW w:w="1659" w:type="dxa"/>
          </w:tcPr>
          <w:p w14:paraId="57D95540" w14:textId="038E0FFF" w:rsidR="00805BFC" w:rsidRDefault="00805BFC" w:rsidP="0050277A">
            <w:pPr>
              <w:pStyle w:val="ListParagraph"/>
              <w:spacing w:after="240"/>
              <w:ind w:left="0"/>
              <w:rPr>
                <w:rFonts w:cstheme="minorHAnsi"/>
                <w:color w:val="000000"/>
              </w:rPr>
            </w:pPr>
            <w:r>
              <w:rPr>
                <w:rFonts w:ascii="Helvetica" w:hAnsi="Helvetica" w:cs="Calibri"/>
                <w:color w:val="000000"/>
                <w:sz w:val="20"/>
                <w:szCs w:val="20"/>
              </w:rPr>
              <w:t>60 (24%) </w:t>
            </w:r>
          </w:p>
        </w:tc>
        <w:tc>
          <w:tcPr>
            <w:tcW w:w="1659" w:type="dxa"/>
          </w:tcPr>
          <w:p w14:paraId="47A85623" w14:textId="7C086C3F" w:rsidR="00805BFC" w:rsidRDefault="00805BFC" w:rsidP="0050277A">
            <w:pPr>
              <w:pStyle w:val="ListParagraph"/>
              <w:spacing w:after="240"/>
              <w:ind w:left="0"/>
              <w:rPr>
                <w:rFonts w:cstheme="minorHAnsi"/>
                <w:color w:val="000000"/>
              </w:rPr>
            </w:pPr>
            <w:r>
              <w:rPr>
                <w:rFonts w:ascii="Helvetica" w:hAnsi="Helvetica" w:cs="Calibri"/>
                <w:color w:val="000000"/>
                <w:sz w:val="20"/>
                <w:szCs w:val="20"/>
              </w:rPr>
              <w:t>166 (68%) </w:t>
            </w:r>
          </w:p>
        </w:tc>
        <w:tc>
          <w:tcPr>
            <w:tcW w:w="1659" w:type="dxa"/>
          </w:tcPr>
          <w:p w14:paraId="1FFD470C" w14:textId="6A2D9915" w:rsidR="00805BFC" w:rsidRDefault="00805BFC" w:rsidP="0050277A">
            <w:pPr>
              <w:pStyle w:val="ListParagraph"/>
              <w:spacing w:after="240"/>
              <w:ind w:left="0"/>
              <w:rPr>
                <w:rFonts w:cstheme="minorHAnsi"/>
                <w:color w:val="000000"/>
              </w:rPr>
            </w:pPr>
            <w:r>
              <w:rPr>
                <w:rFonts w:ascii="Helvetica Neue" w:hAnsi="Helvetica Neue" w:cs="Calibri"/>
                <w:color w:val="000000"/>
                <w:sz w:val="20"/>
                <w:szCs w:val="20"/>
              </w:rPr>
              <w:t>19 (8%) </w:t>
            </w:r>
          </w:p>
        </w:tc>
        <w:tc>
          <w:tcPr>
            <w:tcW w:w="1660" w:type="dxa"/>
          </w:tcPr>
          <w:p w14:paraId="529B5207" w14:textId="23C7FC24" w:rsidR="00805BFC" w:rsidRDefault="00805BFC" w:rsidP="0050277A">
            <w:pPr>
              <w:pStyle w:val="ListParagraph"/>
              <w:spacing w:after="240"/>
              <w:ind w:left="0"/>
              <w:rPr>
                <w:rFonts w:cstheme="minorHAnsi"/>
                <w:color w:val="000000"/>
              </w:rPr>
            </w:pPr>
            <w:r>
              <w:rPr>
                <w:rFonts w:ascii="Helvetica Neue" w:hAnsi="Helvetica Neue" w:cs="Calibri"/>
                <w:color w:val="000000"/>
                <w:sz w:val="20"/>
                <w:szCs w:val="20"/>
              </w:rPr>
              <w:t>245 (100%)</w:t>
            </w:r>
          </w:p>
        </w:tc>
      </w:tr>
      <w:tr w:rsidR="00805BFC" w14:paraId="63A63394" w14:textId="77777777" w:rsidTr="0050277A">
        <w:tc>
          <w:tcPr>
            <w:tcW w:w="1659" w:type="dxa"/>
          </w:tcPr>
          <w:p w14:paraId="36140267" w14:textId="0033FE21" w:rsidR="00805BFC" w:rsidRDefault="00805BFC" w:rsidP="0050277A">
            <w:pPr>
              <w:pStyle w:val="ListParagraph"/>
              <w:spacing w:after="240"/>
              <w:ind w:left="0"/>
              <w:rPr>
                <w:rFonts w:cstheme="minorHAnsi"/>
                <w:color w:val="000000"/>
              </w:rPr>
            </w:pPr>
            <w:r>
              <w:rPr>
                <w:rFonts w:ascii="Helvetica" w:hAnsi="Helvetica" w:cs="Calibri"/>
                <w:b/>
                <w:bCs/>
                <w:color w:val="000000"/>
                <w:sz w:val="20"/>
                <w:szCs w:val="20"/>
              </w:rPr>
              <w:t>Total </w:t>
            </w:r>
          </w:p>
        </w:tc>
        <w:tc>
          <w:tcPr>
            <w:tcW w:w="1659" w:type="dxa"/>
          </w:tcPr>
          <w:p w14:paraId="38ACF53F" w14:textId="65A8EF0F" w:rsidR="00805BFC" w:rsidRDefault="00805BFC" w:rsidP="0050277A">
            <w:pPr>
              <w:pStyle w:val="ListParagraph"/>
              <w:spacing w:after="240"/>
              <w:ind w:left="0"/>
              <w:rPr>
                <w:rFonts w:cstheme="minorHAnsi"/>
                <w:color w:val="000000"/>
              </w:rPr>
            </w:pPr>
            <w:r>
              <w:rPr>
                <w:rFonts w:ascii="Helvetica" w:hAnsi="Helvetica" w:cs="Calibri"/>
                <w:b/>
                <w:bCs/>
                <w:color w:val="000000"/>
                <w:sz w:val="20"/>
                <w:szCs w:val="20"/>
              </w:rPr>
              <w:t>302 (11%) </w:t>
            </w:r>
          </w:p>
        </w:tc>
        <w:tc>
          <w:tcPr>
            <w:tcW w:w="1659" w:type="dxa"/>
          </w:tcPr>
          <w:p w14:paraId="5E4944D5" w14:textId="1CE7FFB3" w:rsidR="00805BFC" w:rsidRDefault="00805BFC" w:rsidP="0050277A">
            <w:pPr>
              <w:pStyle w:val="ListParagraph"/>
              <w:spacing w:after="240"/>
              <w:ind w:left="0"/>
              <w:rPr>
                <w:rFonts w:cstheme="minorHAnsi"/>
                <w:color w:val="000000"/>
              </w:rPr>
            </w:pPr>
            <w:r>
              <w:rPr>
                <w:rFonts w:ascii="Helvetica" w:hAnsi="Helvetica" w:cs="Calibri"/>
                <w:b/>
                <w:bCs/>
                <w:color w:val="000000"/>
                <w:sz w:val="20"/>
                <w:szCs w:val="20"/>
              </w:rPr>
              <w:t>2,232 (78%) </w:t>
            </w:r>
          </w:p>
        </w:tc>
        <w:tc>
          <w:tcPr>
            <w:tcW w:w="1659" w:type="dxa"/>
          </w:tcPr>
          <w:p w14:paraId="3BE27C24" w14:textId="0B493173" w:rsidR="00805BFC" w:rsidRDefault="00805BFC" w:rsidP="0050277A">
            <w:pPr>
              <w:pStyle w:val="ListParagraph"/>
              <w:spacing w:after="240"/>
              <w:ind w:left="0"/>
              <w:rPr>
                <w:rFonts w:cstheme="minorHAnsi"/>
                <w:color w:val="000000"/>
              </w:rPr>
            </w:pPr>
            <w:r>
              <w:rPr>
                <w:rFonts w:ascii="Helvetica" w:hAnsi="Helvetica" w:cs="Calibri"/>
                <w:b/>
                <w:bCs/>
                <w:color w:val="000000"/>
                <w:sz w:val="20"/>
                <w:szCs w:val="20"/>
              </w:rPr>
              <w:t>313 (11%) </w:t>
            </w:r>
          </w:p>
        </w:tc>
        <w:tc>
          <w:tcPr>
            <w:tcW w:w="1660" w:type="dxa"/>
          </w:tcPr>
          <w:p w14:paraId="7AC145F8" w14:textId="4A20B3B0" w:rsidR="00805BFC" w:rsidRDefault="00805BFC" w:rsidP="0050277A">
            <w:pPr>
              <w:pStyle w:val="ListParagraph"/>
              <w:spacing w:after="240"/>
              <w:ind w:left="0"/>
              <w:rPr>
                <w:rFonts w:cstheme="minorHAnsi"/>
                <w:color w:val="000000"/>
              </w:rPr>
            </w:pPr>
            <w:r>
              <w:rPr>
                <w:rFonts w:ascii="Helvetica" w:hAnsi="Helvetica" w:cs="Calibri"/>
                <w:b/>
                <w:bCs/>
                <w:color w:val="000000"/>
                <w:sz w:val="20"/>
                <w:szCs w:val="20"/>
              </w:rPr>
              <w:t>2,847 (100%)</w:t>
            </w:r>
          </w:p>
        </w:tc>
      </w:tr>
    </w:tbl>
    <w:p w14:paraId="6CB73F26" w14:textId="25DCA213" w:rsidR="00805BFC" w:rsidRPr="007F7BB7" w:rsidRDefault="002C1805" w:rsidP="005F1253">
      <w:pPr>
        <w:pStyle w:val="ListParagraph"/>
        <w:spacing w:after="240"/>
        <w:jc w:val="both"/>
        <w:rPr>
          <w:rFonts w:cstheme="minorHAnsi"/>
          <w:color w:val="000000"/>
        </w:rPr>
      </w:pPr>
      <w:r w:rsidRPr="006961F2">
        <w:rPr>
          <w:rFonts w:cstheme="minorHAnsi"/>
          <w:color w:val="000000"/>
        </w:rPr>
        <w:t xml:space="preserve">Source: </w:t>
      </w:r>
      <w:r w:rsidR="006961F2" w:rsidRPr="006961F2">
        <w:rPr>
          <w:rFonts w:cstheme="minorHAnsi"/>
        </w:rPr>
        <w:t xml:space="preserve">University of Queensland, </w:t>
      </w:r>
      <w:proofErr w:type="gramStart"/>
      <w:r w:rsidR="006961F2" w:rsidRPr="006961F2">
        <w:rPr>
          <w:rFonts w:cstheme="minorHAnsi"/>
          <w:i/>
          <w:iCs/>
        </w:rPr>
        <w:t>The</w:t>
      </w:r>
      <w:proofErr w:type="gramEnd"/>
      <w:r w:rsidR="006961F2" w:rsidRPr="006961F2">
        <w:rPr>
          <w:rFonts w:cstheme="minorHAnsi"/>
          <w:i/>
          <w:iCs/>
        </w:rPr>
        <w:t xml:space="preserve"> cost of residential aged care</w:t>
      </w:r>
      <w:r w:rsidR="006961F2" w:rsidRPr="006961F2">
        <w:rPr>
          <w:rFonts w:cstheme="minorHAnsi"/>
        </w:rPr>
        <w:t>, 2020</w:t>
      </w:r>
      <w:r w:rsidR="006961F2">
        <w:rPr>
          <w:rFonts w:cstheme="minorHAnsi"/>
        </w:rPr>
        <w:t>, as cited in</w:t>
      </w:r>
      <w:r w:rsidR="006961F2" w:rsidRPr="006961F2">
        <w:rPr>
          <w:rFonts w:cstheme="minorHAnsi"/>
        </w:rPr>
        <w:t xml:space="preserve"> </w:t>
      </w:r>
      <w:r w:rsidR="002B4271" w:rsidRPr="006961F2">
        <w:rPr>
          <w:rFonts w:cstheme="minorHAnsi"/>
          <w:color w:val="000000"/>
        </w:rPr>
        <w:t>Royal Commission Final Report</w:t>
      </w:r>
      <w:r w:rsidR="002B4271" w:rsidRPr="00DA4295">
        <w:rPr>
          <w:rFonts w:cstheme="minorHAnsi"/>
          <w:color w:val="000000"/>
        </w:rPr>
        <w:t xml:space="preserve"> Volume 2, p 166</w:t>
      </w:r>
      <w:r w:rsidR="002B4271">
        <w:rPr>
          <w:rFonts w:cstheme="minorHAnsi"/>
          <w:color w:val="000000"/>
        </w:rPr>
        <w:t xml:space="preserve">. </w:t>
      </w:r>
    </w:p>
    <w:p w14:paraId="1498C818" w14:textId="5579AC79" w:rsidR="000D78F5" w:rsidRPr="007F7BB7" w:rsidRDefault="000D78F5" w:rsidP="00FD1261">
      <w:pPr>
        <w:pStyle w:val="ListParagraph"/>
        <w:numPr>
          <w:ilvl w:val="0"/>
          <w:numId w:val="7"/>
        </w:numPr>
        <w:spacing w:after="240"/>
        <w:jc w:val="both"/>
        <w:rPr>
          <w:rFonts w:cstheme="minorHAnsi"/>
        </w:rPr>
      </w:pPr>
      <w:r w:rsidRPr="00DA4295">
        <w:rPr>
          <w:rFonts w:cstheme="minorHAnsi"/>
          <w:color w:val="000000"/>
          <w:lang w:val="en-GB"/>
        </w:rPr>
        <w:lastRenderedPageBreak/>
        <w:t xml:space="preserve">Research cited from the </w:t>
      </w:r>
      <w:r w:rsidR="00EF3A8C" w:rsidRPr="00DA4295">
        <w:rPr>
          <w:rFonts w:cstheme="minorHAnsi"/>
          <w:color w:val="000000"/>
          <w:lang w:val="en-GB"/>
        </w:rPr>
        <w:t>National Ageing Research Institute showed that life satisfaction was highest in government-run services (with an average of 8.5 out of 10), followed by not-for-profit (7.9) and then for-profit (7.0) (Royal Commission Final Report Volume 2, p 167).</w:t>
      </w:r>
    </w:p>
    <w:p w14:paraId="6C03B02A" w14:textId="0C56C8C4" w:rsidR="000D78F5" w:rsidRPr="007F7BB7" w:rsidRDefault="000D78F5" w:rsidP="00FD1261">
      <w:pPr>
        <w:pStyle w:val="ListParagraph"/>
        <w:numPr>
          <w:ilvl w:val="0"/>
          <w:numId w:val="7"/>
        </w:numPr>
        <w:spacing w:after="240"/>
        <w:jc w:val="both"/>
        <w:rPr>
          <w:rFonts w:cstheme="minorHAnsi"/>
          <w:color w:val="000000"/>
          <w:lang w:val="en-GB"/>
        </w:rPr>
      </w:pPr>
      <w:r w:rsidRPr="00DA4295">
        <w:rPr>
          <w:rFonts w:cstheme="minorHAnsi"/>
          <w:color w:val="000000"/>
          <w:lang w:val="en-GB"/>
        </w:rPr>
        <w:t>A</w:t>
      </w:r>
      <w:r w:rsidR="00EF3A8C" w:rsidRPr="00DA4295">
        <w:rPr>
          <w:rFonts w:cstheme="minorHAnsi"/>
          <w:color w:val="000000"/>
          <w:lang w:val="en-GB"/>
        </w:rPr>
        <w:t>ccreditation data</w:t>
      </w:r>
      <w:r w:rsidRPr="00DA4295">
        <w:rPr>
          <w:rFonts w:cstheme="minorHAnsi"/>
          <w:color w:val="000000"/>
          <w:lang w:val="en-GB"/>
        </w:rPr>
        <w:t xml:space="preserve"> from 2018-19 showed </w:t>
      </w:r>
      <w:r w:rsidR="00EF3A8C" w:rsidRPr="00DA4295">
        <w:rPr>
          <w:rFonts w:cstheme="minorHAnsi"/>
          <w:color w:val="000000"/>
          <w:lang w:val="en-GB"/>
        </w:rPr>
        <w:t>a higher proportion of for-profit residential aged care services (18%) not comply</w:t>
      </w:r>
      <w:r w:rsidRPr="00DA4295">
        <w:rPr>
          <w:rFonts w:cstheme="minorHAnsi"/>
          <w:color w:val="000000"/>
          <w:lang w:val="en-GB"/>
        </w:rPr>
        <w:t>ing</w:t>
      </w:r>
      <w:r w:rsidR="00EF3A8C" w:rsidRPr="00DA4295">
        <w:rPr>
          <w:rFonts w:cstheme="minorHAnsi"/>
          <w:color w:val="000000"/>
          <w:lang w:val="en-GB"/>
        </w:rPr>
        <w:t xml:space="preserve"> with the applicable accreditation standards</w:t>
      </w:r>
      <w:r w:rsidRPr="00DA4295">
        <w:rPr>
          <w:rFonts w:cstheme="minorHAnsi"/>
          <w:color w:val="000000"/>
          <w:lang w:val="en-GB"/>
        </w:rPr>
        <w:t xml:space="preserve">, followed by </w:t>
      </w:r>
      <w:r w:rsidR="00EF3A8C" w:rsidRPr="00DA4295">
        <w:rPr>
          <w:rFonts w:cstheme="minorHAnsi"/>
          <w:color w:val="000000"/>
          <w:lang w:val="en-GB"/>
        </w:rPr>
        <w:t>not-for-profit services (16%)</w:t>
      </w:r>
      <w:r w:rsidR="007F7BB7">
        <w:rPr>
          <w:rFonts w:cstheme="minorHAnsi"/>
          <w:color w:val="000000"/>
          <w:lang w:val="en-GB"/>
        </w:rPr>
        <w:t xml:space="preserve">, with the fewest from </w:t>
      </w:r>
      <w:r w:rsidRPr="00DA4295">
        <w:rPr>
          <w:rFonts w:cstheme="minorHAnsi"/>
          <w:color w:val="000000"/>
          <w:lang w:val="en-GB"/>
        </w:rPr>
        <w:t xml:space="preserve">government-run facilities </w:t>
      </w:r>
      <w:r w:rsidR="007F7BB7">
        <w:rPr>
          <w:rFonts w:cstheme="minorHAnsi"/>
          <w:color w:val="000000"/>
          <w:lang w:val="en-GB"/>
        </w:rPr>
        <w:t>(13%)</w:t>
      </w:r>
      <w:r w:rsidR="00EF3A8C" w:rsidRPr="00DA4295">
        <w:rPr>
          <w:rFonts w:cstheme="minorHAnsi"/>
          <w:color w:val="000000"/>
          <w:lang w:val="en-GB"/>
        </w:rPr>
        <w:t xml:space="preserve"> (Royal Commission Final Report Volume 2, p 167).</w:t>
      </w:r>
    </w:p>
    <w:p w14:paraId="416875CF" w14:textId="77777777" w:rsidR="007F7BB7" w:rsidRDefault="00EF3A8C" w:rsidP="00FD1261">
      <w:pPr>
        <w:pStyle w:val="ListParagraph"/>
        <w:numPr>
          <w:ilvl w:val="0"/>
          <w:numId w:val="7"/>
        </w:numPr>
        <w:spacing w:after="240"/>
        <w:jc w:val="both"/>
        <w:rPr>
          <w:rFonts w:cstheme="minorHAnsi"/>
          <w:color w:val="000000"/>
          <w:lang w:val="en-GB"/>
        </w:rPr>
      </w:pPr>
      <w:r w:rsidRPr="00DA4295">
        <w:rPr>
          <w:rFonts w:cstheme="minorHAnsi"/>
          <w:color w:val="000000"/>
          <w:lang w:val="en-GB"/>
        </w:rPr>
        <w:t>Government</w:t>
      </w:r>
      <w:r w:rsidR="000D78F5" w:rsidRPr="00DA4295">
        <w:rPr>
          <w:rFonts w:cstheme="minorHAnsi"/>
          <w:color w:val="000000"/>
          <w:lang w:val="en-GB"/>
        </w:rPr>
        <w:t>-run</w:t>
      </w:r>
      <w:r w:rsidRPr="00DA4295">
        <w:rPr>
          <w:rFonts w:cstheme="minorHAnsi"/>
          <w:color w:val="000000"/>
          <w:lang w:val="en-GB"/>
        </w:rPr>
        <w:t xml:space="preserve"> residential care services were also less likely to have a finding of serious risk made against them (Royal Commission Final Report Volume 2, p 167).</w:t>
      </w:r>
      <w:r w:rsidR="000D78F5" w:rsidRPr="00DA4295">
        <w:rPr>
          <w:rFonts w:cstheme="minorHAnsi"/>
          <w:color w:val="000000"/>
          <w:lang w:val="en-GB"/>
        </w:rPr>
        <w:t xml:space="preserve"> </w:t>
      </w:r>
    </w:p>
    <w:p w14:paraId="3C32AD82" w14:textId="0B89D2CB" w:rsidR="00FD50EE" w:rsidRPr="007F7BB7" w:rsidRDefault="000D78F5" w:rsidP="00FD1261">
      <w:pPr>
        <w:pStyle w:val="ListParagraph"/>
        <w:numPr>
          <w:ilvl w:val="0"/>
          <w:numId w:val="7"/>
        </w:numPr>
        <w:spacing w:after="240"/>
        <w:jc w:val="both"/>
        <w:rPr>
          <w:rFonts w:cstheme="minorHAnsi"/>
          <w:color w:val="000000"/>
          <w:lang w:val="en-GB"/>
        </w:rPr>
      </w:pPr>
      <w:r w:rsidRPr="00DA4295">
        <w:rPr>
          <w:rFonts w:cstheme="minorHAnsi"/>
          <w:color w:val="000000"/>
          <w:lang w:val="en-GB"/>
        </w:rPr>
        <w:t xml:space="preserve">In addition, </w:t>
      </w:r>
      <w:r w:rsidR="00FD50EE" w:rsidRPr="00DA4295">
        <w:rPr>
          <w:rFonts w:cstheme="minorHAnsi"/>
          <w:color w:val="000000"/>
          <w:lang w:val="en-GB"/>
        </w:rPr>
        <w:t xml:space="preserve">of the 53 </w:t>
      </w:r>
      <w:r w:rsidR="00EF3A8C" w:rsidRPr="00DA4295">
        <w:rPr>
          <w:rFonts w:cstheme="minorHAnsi"/>
          <w:color w:val="000000"/>
          <w:lang w:val="en-GB"/>
        </w:rPr>
        <w:t xml:space="preserve">Australian Department of Health </w:t>
      </w:r>
      <w:r w:rsidR="00FD50EE" w:rsidRPr="00DA4295">
        <w:rPr>
          <w:rFonts w:cstheme="minorHAnsi"/>
          <w:color w:val="000000"/>
          <w:lang w:val="en-GB"/>
        </w:rPr>
        <w:t xml:space="preserve">sanctions </w:t>
      </w:r>
      <w:r w:rsidR="00EF3A8C" w:rsidRPr="00DA4295">
        <w:rPr>
          <w:rFonts w:cstheme="minorHAnsi"/>
          <w:color w:val="000000"/>
          <w:lang w:val="en-GB"/>
        </w:rPr>
        <w:t xml:space="preserve">issued </w:t>
      </w:r>
      <w:r w:rsidR="00FD50EE" w:rsidRPr="00DA4295">
        <w:rPr>
          <w:rFonts w:cstheme="minorHAnsi"/>
          <w:color w:val="000000"/>
          <w:lang w:val="en-GB"/>
        </w:rPr>
        <w:t xml:space="preserve">in 2018-19, only one was for a government-run provider, with 28 going to </w:t>
      </w:r>
      <w:r w:rsidR="00EF3A8C" w:rsidRPr="00DA4295">
        <w:rPr>
          <w:rFonts w:cstheme="minorHAnsi"/>
          <w:color w:val="000000"/>
          <w:lang w:val="en-GB"/>
        </w:rPr>
        <w:t>for-profit residential care providers</w:t>
      </w:r>
      <w:r w:rsidR="00FD50EE" w:rsidRPr="00DA4295">
        <w:rPr>
          <w:rFonts w:cstheme="minorHAnsi"/>
          <w:color w:val="000000"/>
          <w:lang w:val="en-GB"/>
        </w:rPr>
        <w:t xml:space="preserve"> and</w:t>
      </w:r>
      <w:r w:rsidR="00EF3A8C" w:rsidRPr="00DA4295">
        <w:rPr>
          <w:rFonts w:cstheme="minorHAnsi"/>
          <w:color w:val="000000"/>
          <w:lang w:val="en-GB"/>
        </w:rPr>
        <w:t xml:space="preserve"> 24 to not-for-profit providers (Royal Commission Final Report Volume 2, p 167).</w:t>
      </w:r>
    </w:p>
    <w:p w14:paraId="29C94D45" w14:textId="40BEB8E9" w:rsidR="009B6004" w:rsidRPr="007F7BB7" w:rsidRDefault="00EF3A8C" w:rsidP="00FD1261">
      <w:pPr>
        <w:pStyle w:val="ListParagraph"/>
        <w:numPr>
          <w:ilvl w:val="0"/>
          <w:numId w:val="7"/>
        </w:numPr>
        <w:spacing w:after="240"/>
        <w:jc w:val="both"/>
        <w:rPr>
          <w:rFonts w:cstheme="minorHAnsi"/>
        </w:rPr>
      </w:pPr>
      <w:r w:rsidRPr="00DA4295">
        <w:rPr>
          <w:rFonts w:cstheme="minorHAnsi"/>
          <w:color w:val="000000"/>
          <w:lang w:val="en-GB"/>
        </w:rPr>
        <w:t>Government-operated residential aged care services were on average less likely to have residents affected by pressure injuries</w:t>
      </w:r>
      <w:r w:rsidR="00FD50EE" w:rsidRPr="00DA4295">
        <w:rPr>
          <w:rFonts w:cstheme="minorHAnsi"/>
          <w:color w:val="000000"/>
          <w:lang w:val="en-GB"/>
        </w:rPr>
        <w:t xml:space="preserve"> and less likely to have residents experiencing </w:t>
      </w:r>
      <w:r w:rsidRPr="00DA4295">
        <w:rPr>
          <w:rFonts w:cstheme="minorHAnsi"/>
        </w:rPr>
        <w:t>significant unplanned weight loss</w:t>
      </w:r>
      <w:r w:rsidR="009078BA" w:rsidRPr="00DA4295">
        <w:rPr>
          <w:rFonts w:cstheme="minorHAnsi"/>
        </w:rPr>
        <w:t xml:space="preserve"> </w:t>
      </w:r>
      <w:r w:rsidR="009078BA" w:rsidRPr="00DA4295">
        <w:rPr>
          <w:rFonts w:cstheme="minorHAnsi"/>
          <w:color w:val="000000"/>
          <w:lang w:val="en-GB"/>
        </w:rPr>
        <w:t>(Royal Commission Final Report Volume 2, p 167)</w:t>
      </w:r>
      <w:r w:rsidRPr="00DA4295">
        <w:rPr>
          <w:rFonts w:cstheme="minorHAnsi"/>
        </w:rPr>
        <w:t xml:space="preserve">. </w:t>
      </w:r>
    </w:p>
    <w:p w14:paraId="340CD848" w14:textId="4C2685EE" w:rsidR="003C6995" w:rsidRDefault="00946A81" w:rsidP="00FD1261">
      <w:pPr>
        <w:spacing w:after="240"/>
        <w:jc w:val="both"/>
        <w:rPr>
          <w:rFonts w:cstheme="minorHAnsi"/>
        </w:rPr>
      </w:pPr>
      <w:r>
        <w:rPr>
          <w:rFonts w:cstheme="minorHAnsi"/>
        </w:rPr>
        <w:t xml:space="preserve">In addition to the Royal Commission findings, </w:t>
      </w:r>
      <w:r w:rsidR="00DA4295">
        <w:rPr>
          <w:rFonts w:cstheme="minorHAnsi"/>
        </w:rPr>
        <w:t xml:space="preserve">a large body of </w:t>
      </w:r>
      <w:r w:rsidR="0068537B">
        <w:rPr>
          <w:rFonts w:cstheme="minorHAnsi"/>
        </w:rPr>
        <w:t xml:space="preserve">Australian </w:t>
      </w:r>
      <w:r w:rsidR="00416ECF">
        <w:rPr>
          <w:rFonts w:cstheme="minorHAnsi"/>
        </w:rPr>
        <w:t xml:space="preserve">research </w:t>
      </w:r>
      <w:r w:rsidR="00DA4295">
        <w:rPr>
          <w:rFonts w:cstheme="minorHAnsi"/>
        </w:rPr>
        <w:t xml:space="preserve">evidence </w:t>
      </w:r>
      <w:r w:rsidR="00416ECF">
        <w:rPr>
          <w:rFonts w:cstheme="minorHAnsi"/>
        </w:rPr>
        <w:t xml:space="preserve">supports the contention that government-run aged care facilities provide higher quality outcomes for residents compared to for-profit facilities (Baldwin et al. 2015a, Baldwin et al. 2015b, Ellis and Howe 2010, </w:t>
      </w:r>
      <w:r w:rsidR="0068537B">
        <w:rPr>
          <w:rFonts w:cstheme="minorHAnsi"/>
        </w:rPr>
        <w:t>Jenkins and Braithwaite 1993, King and Martin 2009)</w:t>
      </w:r>
      <w:r w:rsidR="00416ECF">
        <w:rPr>
          <w:rFonts w:cstheme="minorHAnsi"/>
        </w:rPr>
        <w:t xml:space="preserve">. </w:t>
      </w:r>
      <w:r w:rsidR="0068537B">
        <w:rPr>
          <w:rFonts w:cstheme="minorHAnsi"/>
        </w:rPr>
        <w:t>The finding that</w:t>
      </w:r>
      <w:r w:rsidR="007F7BB7">
        <w:rPr>
          <w:rFonts w:cstheme="minorHAnsi"/>
        </w:rPr>
        <w:t xml:space="preserve"> </w:t>
      </w:r>
      <w:r w:rsidR="0068537B">
        <w:rPr>
          <w:rFonts w:cstheme="minorHAnsi"/>
        </w:rPr>
        <w:t>for-profit aged care facilities provide lower quality care is also consistent with international research</w:t>
      </w:r>
      <w:r w:rsidR="009078BA">
        <w:rPr>
          <w:rFonts w:cstheme="minorHAnsi"/>
        </w:rPr>
        <w:t xml:space="preserve"> </w:t>
      </w:r>
      <w:r w:rsidR="0068537B">
        <w:rPr>
          <w:rFonts w:cstheme="minorHAnsi"/>
        </w:rPr>
        <w:t>(</w:t>
      </w:r>
      <w:proofErr w:type="spellStart"/>
      <w:r w:rsidR="0068537B">
        <w:rPr>
          <w:rFonts w:cstheme="minorHAnsi"/>
        </w:rPr>
        <w:t>Comondore</w:t>
      </w:r>
      <w:proofErr w:type="spellEnd"/>
      <w:r w:rsidR="0068537B">
        <w:rPr>
          <w:rFonts w:cstheme="minorHAnsi"/>
        </w:rPr>
        <w:t xml:space="preserve"> et al. 2009, Grabowski et al. 2013, </w:t>
      </w:r>
      <w:r w:rsidR="00254A9A">
        <w:rPr>
          <w:rFonts w:cstheme="minorHAnsi"/>
        </w:rPr>
        <w:t xml:space="preserve">Ronald et al. 2016, Bos et al. 2017, </w:t>
      </w:r>
      <w:r w:rsidR="0068537B">
        <w:rPr>
          <w:rFonts w:cstheme="minorHAnsi"/>
        </w:rPr>
        <w:t>Harrington et al. 2017)</w:t>
      </w:r>
      <w:r w:rsidR="003C6995">
        <w:rPr>
          <w:rFonts w:cstheme="minorHAnsi"/>
        </w:rPr>
        <w:t>.</w:t>
      </w:r>
    </w:p>
    <w:p w14:paraId="77A41D51" w14:textId="3D8AE16C" w:rsidR="00EF3A8C" w:rsidRDefault="003C6995" w:rsidP="00FD1261">
      <w:pPr>
        <w:spacing w:after="240"/>
        <w:jc w:val="both"/>
      </w:pPr>
      <w:r w:rsidRPr="007F7BB7">
        <w:rPr>
          <w:rFonts w:cstheme="minorHAnsi"/>
        </w:rPr>
        <w:t xml:space="preserve">More recently Yong et al. (2021) analysed 11 quality of care outcomes </w:t>
      </w:r>
      <w:r w:rsidR="007F7BB7">
        <w:rPr>
          <w:rFonts w:cstheme="minorHAnsi"/>
        </w:rPr>
        <w:t>in</w:t>
      </w:r>
      <w:r w:rsidRPr="007F7BB7">
        <w:rPr>
          <w:rFonts w:cstheme="minorHAnsi"/>
        </w:rPr>
        <w:t xml:space="preserve"> approximately 3,000 residential aged care facilities in Australia. </w:t>
      </w:r>
      <w:r w:rsidR="00967599" w:rsidRPr="007F7BB7">
        <w:rPr>
          <w:rFonts w:cstheme="minorHAnsi"/>
        </w:rPr>
        <w:t xml:space="preserve">Government-run </w:t>
      </w:r>
      <w:r w:rsidR="007F7BB7" w:rsidRPr="007F7BB7">
        <w:rPr>
          <w:rFonts w:cstheme="minorHAnsi"/>
        </w:rPr>
        <w:t>facilities</w:t>
      </w:r>
      <w:r w:rsidR="00967599" w:rsidRPr="007F7BB7">
        <w:rPr>
          <w:rFonts w:cstheme="minorHAnsi"/>
        </w:rPr>
        <w:t xml:space="preserve"> recorded better outcomes than for-profit and not-for-profit facilities i</w:t>
      </w:r>
      <w:r w:rsidRPr="007F7BB7">
        <w:rPr>
          <w:rFonts w:cstheme="minorHAnsi"/>
        </w:rPr>
        <w:t xml:space="preserve">n 9 of the 11 quality of care measures (emergency department presentations, falls, dementia hospitalisation, pressure injuries, adverse medical events, complaints, assaults, </w:t>
      </w:r>
      <w:r w:rsidR="00967599" w:rsidRPr="007F7BB7">
        <w:rPr>
          <w:rFonts w:cstheme="minorHAnsi"/>
        </w:rPr>
        <w:t xml:space="preserve">hours of care, registered nurse hours). In addition, government-run facilities </w:t>
      </w:r>
      <w:r w:rsidR="006B741D" w:rsidRPr="007F7BB7">
        <w:rPr>
          <w:rFonts w:cstheme="minorHAnsi"/>
        </w:rPr>
        <w:t>charged</w:t>
      </w:r>
      <w:r w:rsidR="00967599" w:rsidRPr="007F7BB7">
        <w:rPr>
          <w:rFonts w:cstheme="minorHAnsi"/>
        </w:rPr>
        <w:t xml:space="preserve"> residents lower prices on average (</w:t>
      </w:r>
      <w:r w:rsidR="00967599" w:rsidRPr="007F7BB7">
        <w:t>$207.6</w:t>
      </w:r>
      <w:r w:rsidR="000C2BEB">
        <w:t>0</w:t>
      </w:r>
      <w:r w:rsidR="00967599" w:rsidRPr="007F7BB7">
        <w:t xml:space="preserve"> per resident-day), compared to not-for profit facilities ($227.1</w:t>
      </w:r>
      <w:r w:rsidR="000C2BEB">
        <w:t>0</w:t>
      </w:r>
      <w:r w:rsidR="00967599" w:rsidRPr="007F7BB7">
        <w:t>), and for-profit facilities ($252.6</w:t>
      </w:r>
      <w:r w:rsidR="000C2BEB">
        <w:t>0</w:t>
      </w:r>
      <w:r w:rsidR="00967599" w:rsidRPr="007F7BB7">
        <w:t>).</w:t>
      </w:r>
    </w:p>
    <w:p w14:paraId="13F6B7C4" w14:textId="0DDECD78" w:rsidR="005604AE" w:rsidRPr="005604AE" w:rsidRDefault="0050277A" w:rsidP="006961F2">
      <w:pPr>
        <w:rPr>
          <w:b/>
          <w:bCs/>
        </w:rPr>
      </w:pPr>
      <w:r>
        <w:rPr>
          <w:b/>
          <w:bCs/>
        </w:rPr>
        <w:br w:type="page"/>
      </w:r>
      <w:r w:rsidR="005604AE">
        <w:rPr>
          <w:b/>
          <w:bCs/>
        </w:rPr>
        <w:lastRenderedPageBreak/>
        <w:t xml:space="preserve">Table 2. </w:t>
      </w:r>
      <w:r w:rsidR="005604AE" w:rsidRPr="005604AE">
        <w:rPr>
          <w:b/>
          <w:bCs/>
        </w:rPr>
        <w:t>Quality and price by ownership type, 2014/15</w:t>
      </w:r>
      <w:r w:rsidR="006961F2">
        <w:rPr>
          <w:b/>
          <w:bCs/>
        </w:rPr>
        <w:t xml:space="preserve"> </w:t>
      </w:r>
      <w:r w:rsidR="005604AE" w:rsidRPr="005604AE">
        <w:rPr>
          <w:b/>
          <w:bCs/>
        </w:rPr>
        <w:t>–</w:t>
      </w:r>
      <w:r w:rsidR="006961F2">
        <w:rPr>
          <w:b/>
          <w:bCs/>
        </w:rPr>
        <w:t xml:space="preserve"> </w:t>
      </w:r>
      <w:r w:rsidR="005604AE" w:rsidRPr="005604AE">
        <w:rPr>
          <w:b/>
          <w:bCs/>
        </w:rPr>
        <w:t>2018/19</w:t>
      </w:r>
    </w:p>
    <w:tbl>
      <w:tblPr>
        <w:tblStyle w:val="TableGrid"/>
        <w:tblW w:w="0" w:type="auto"/>
        <w:tblLook w:val="04A0" w:firstRow="1" w:lastRow="0" w:firstColumn="1" w:lastColumn="0" w:noHBand="0" w:noVBand="1"/>
      </w:tblPr>
      <w:tblGrid>
        <w:gridCol w:w="1803"/>
        <w:gridCol w:w="1803"/>
        <w:gridCol w:w="1803"/>
        <w:gridCol w:w="1803"/>
        <w:gridCol w:w="1804"/>
      </w:tblGrid>
      <w:tr w:rsidR="00162DFE" w:rsidRPr="00112910" w14:paraId="20D3D05D" w14:textId="77777777" w:rsidTr="000D5BF2">
        <w:tc>
          <w:tcPr>
            <w:tcW w:w="1803" w:type="dxa"/>
          </w:tcPr>
          <w:p w14:paraId="1DF39AEF" w14:textId="77777777" w:rsidR="00162DFE" w:rsidRPr="00112910" w:rsidRDefault="00162DFE" w:rsidP="000D5BF2">
            <w:pPr>
              <w:rPr>
                <w:rFonts w:cstheme="minorHAnsi"/>
              </w:rPr>
            </w:pPr>
          </w:p>
        </w:tc>
        <w:tc>
          <w:tcPr>
            <w:tcW w:w="1803" w:type="dxa"/>
          </w:tcPr>
          <w:p w14:paraId="258B965F" w14:textId="77777777" w:rsidR="00162DFE" w:rsidRPr="00112910" w:rsidRDefault="00162DFE" w:rsidP="000D5BF2">
            <w:pPr>
              <w:rPr>
                <w:rFonts w:cstheme="minorHAnsi"/>
              </w:rPr>
            </w:pPr>
          </w:p>
        </w:tc>
        <w:tc>
          <w:tcPr>
            <w:tcW w:w="1803" w:type="dxa"/>
          </w:tcPr>
          <w:p w14:paraId="7714824A" w14:textId="77777777" w:rsidR="00162DFE" w:rsidRPr="00112910" w:rsidRDefault="00162DFE" w:rsidP="000D5BF2">
            <w:pPr>
              <w:rPr>
                <w:rFonts w:cstheme="minorHAnsi"/>
              </w:rPr>
            </w:pPr>
          </w:p>
        </w:tc>
        <w:tc>
          <w:tcPr>
            <w:tcW w:w="1803" w:type="dxa"/>
          </w:tcPr>
          <w:p w14:paraId="68D75188" w14:textId="77777777" w:rsidR="00162DFE" w:rsidRPr="00112910" w:rsidRDefault="00162DFE" w:rsidP="000D5BF2">
            <w:pPr>
              <w:rPr>
                <w:rFonts w:cstheme="minorHAnsi"/>
              </w:rPr>
            </w:pPr>
          </w:p>
        </w:tc>
        <w:tc>
          <w:tcPr>
            <w:tcW w:w="1804" w:type="dxa"/>
          </w:tcPr>
          <w:p w14:paraId="275FC9F7" w14:textId="77777777" w:rsidR="00162DFE" w:rsidRPr="00112910" w:rsidRDefault="00162DFE" w:rsidP="000D5BF2">
            <w:pPr>
              <w:rPr>
                <w:rFonts w:cstheme="minorHAnsi"/>
              </w:rPr>
            </w:pPr>
          </w:p>
        </w:tc>
      </w:tr>
      <w:tr w:rsidR="00162DFE" w:rsidRPr="00112910" w14:paraId="4860C31E" w14:textId="77777777" w:rsidTr="000D5BF2">
        <w:tc>
          <w:tcPr>
            <w:tcW w:w="1803" w:type="dxa"/>
          </w:tcPr>
          <w:p w14:paraId="78ED4C22" w14:textId="77777777" w:rsidR="00162DFE" w:rsidRPr="00112910" w:rsidRDefault="00162DFE" w:rsidP="000D5BF2">
            <w:pPr>
              <w:rPr>
                <w:rFonts w:cstheme="minorHAnsi"/>
              </w:rPr>
            </w:pPr>
          </w:p>
        </w:tc>
        <w:tc>
          <w:tcPr>
            <w:tcW w:w="1803" w:type="dxa"/>
          </w:tcPr>
          <w:p w14:paraId="428EB813" w14:textId="77777777" w:rsidR="00162DFE" w:rsidRPr="00112910" w:rsidRDefault="00162DFE" w:rsidP="000D5BF2">
            <w:pPr>
              <w:rPr>
                <w:rFonts w:cstheme="minorHAnsi"/>
              </w:rPr>
            </w:pPr>
            <w:r w:rsidRPr="00112910">
              <w:rPr>
                <w:rFonts w:cstheme="minorHAnsi"/>
              </w:rPr>
              <w:t>All facilities Not for profit</w:t>
            </w:r>
          </w:p>
        </w:tc>
        <w:tc>
          <w:tcPr>
            <w:tcW w:w="1803" w:type="dxa"/>
          </w:tcPr>
          <w:p w14:paraId="78389754" w14:textId="77777777" w:rsidR="00162DFE" w:rsidRPr="00112910" w:rsidRDefault="00162DFE" w:rsidP="000D5BF2">
            <w:pPr>
              <w:rPr>
                <w:rFonts w:cstheme="minorHAnsi"/>
              </w:rPr>
            </w:pPr>
            <w:r w:rsidRPr="00112910">
              <w:rPr>
                <w:rFonts w:cstheme="minorHAnsi"/>
              </w:rPr>
              <w:t>For profit</w:t>
            </w:r>
          </w:p>
        </w:tc>
        <w:tc>
          <w:tcPr>
            <w:tcW w:w="1803" w:type="dxa"/>
          </w:tcPr>
          <w:p w14:paraId="2E1256F8" w14:textId="77777777" w:rsidR="00162DFE" w:rsidRPr="00112910" w:rsidRDefault="00162DFE" w:rsidP="000D5BF2">
            <w:pPr>
              <w:rPr>
                <w:rFonts w:cstheme="minorHAnsi"/>
              </w:rPr>
            </w:pPr>
            <w:r w:rsidRPr="00112910">
              <w:rPr>
                <w:rFonts w:cstheme="minorHAnsi"/>
              </w:rPr>
              <w:t>Government owned</w:t>
            </w:r>
          </w:p>
        </w:tc>
        <w:tc>
          <w:tcPr>
            <w:tcW w:w="1804" w:type="dxa"/>
          </w:tcPr>
          <w:p w14:paraId="109F3FD7" w14:textId="77777777" w:rsidR="00162DFE" w:rsidRPr="00112910" w:rsidRDefault="00162DFE" w:rsidP="000D5BF2">
            <w:pPr>
              <w:rPr>
                <w:rFonts w:cstheme="minorHAnsi"/>
              </w:rPr>
            </w:pPr>
            <w:r w:rsidRPr="00112910">
              <w:rPr>
                <w:rFonts w:cstheme="minorHAnsi"/>
              </w:rPr>
              <w:t>Not for profit</w:t>
            </w:r>
          </w:p>
        </w:tc>
      </w:tr>
      <w:tr w:rsidR="00162DFE" w:rsidRPr="00112910" w14:paraId="3467EE80" w14:textId="77777777" w:rsidTr="000D5BF2">
        <w:tc>
          <w:tcPr>
            <w:tcW w:w="1803" w:type="dxa"/>
          </w:tcPr>
          <w:p w14:paraId="6E821110" w14:textId="77777777" w:rsidR="00162DFE" w:rsidRPr="00112910" w:rsidRDefault="00162DFE" w:rsidP="000D5BF2">
            <w:pPr>
              <w:rPr>
                <w:rFonts w:cstheme="minorHAnsi"/>
              </w:rPr>
            </w:pPr>
            <w:r w:rsidRPr="00112910">
              <w:rPr>
                <w:rFonts w:cstheme="minorHAnsi"/>
              </w:rPr>
              <w:t>ED Admission</w:t>
            </w:r>
          </w:p>
        </w:tc>
        <w:tc>
          <w:tcPr>
            <w:tcW w:w="1803" w:type="dxa"/>
            <w:vAlign w:val="bottom"/>
          </w:tcPr>
          <w:p w14:paraId="0ED576D8" w14:textId="77777777" w:rsidR="00162DFE" w:rsidRPr="00112910" w:rsidRDefault="00162DFE" w:rsidP="000D5BF2">
            <w:pPr>
              <w:rPr>
                <w:rFonts w:cstheme="minorHAnsi"/>
              </w:rPr>
            </w:pPr>
            <w:r w:rsidRPr="00112910">
              <w:rPr>
                <w:rFonts w:cstheme="minorHAnsi"/>
                <w:color w:val="000000"/>
              </w:rPr>
              <w:t>0.202</w:t>
            </w:r>
          </w:p>
        </w:tc>
        <w:tc>
          <w:tcPr>
            <w:tcW w:w="1803" w:type="dxa"/>
            <w:vAlign w:val="bottom"/>
          </w:tcPr>
          <w:p w14:paraId="2E3D02D4" w14:textId="77777777" w:rsidR="00162DFE" w:rsidRPr="00112910" w:rsidRDefault="00162DFE" w:rsidP="000D5BF2">
            <w:pPr>
              <w:rPr>
                <w:rFonts w:cstheme="minorHAnsi"/>
              </w:rPr>
            </w:pPr>
            <w:r w:rsidRPr="00112910">
              <w:rPr>
                <w:rFonts w:cstheme="minorHAnsi"/>
                <w:color w:val="000000"/>
              </w:rPr>
              <w:t>0.201</w:t>
            </w:r>
          </w:p>
        </w:tc>
        <w:tc>
          <w:tcPr>
            <w:tcW w:w="1803" w:type="dxa"/>
            <w:vAlign w:val="bottom"/>
          </w:tcPr>
          <w:p w14:paraId="75A247FE" w14:textId="77777777" w:rsidR="00162DFE" w:rsidRPr="00112910" w:rsidRDefault="00162DFE" w:rsidP="000D5BF2">
            <w:pPr>
              <w:rPr>
                <w:rFonts w:cstheme="minorHAnsi"/>
              </w:rPr>
            </w:pPr>
            <w:r w:rsidRPr="00112910">
              <w:rPr>
                <w:rFonts w:cstheme="minorHAnsi"/>
                <w:color w:val="000000"/>
              </w:rPr>
              <w:t>0.133</w:t>
            </w:r>
          </w:p>
        </w:tc>
        <w:tc>
          <w:tcPr>
            <w:tcW w:w="1804" w:type="dxa"/>
            <w:vAlign w:val="bottom"/>
          </w:tcPr>
          <w:p w14:paraId="6DB0D854" w14:textId="77777777" w:rsidR="00162DFE" w:rsidRPr="00112910" w:rsidRDefault="00162DFE" w:rsidP="000D5BF2">
            <w:pPr>
              <w:rPr>
                <w:rFonts w:cstheme="minorHAnsi"/>
              </w:rPr>
            </w:pPr>
            <w:r w:rsidRPr="00112910">
              <w:rPr>
                <w:rFonts w:cstheme="minorHAnsi"/>
                <w:color w:val="000000"/>
              </w:rPr>
              <w:t>0.211</w:t>
            </w:r>
          </w:p>
        </w:tc>
      </w:tr>
      <w:tr w:rsidR="00162DFE" w:rsidRPr="00112910" w14:paraId="271578B5" w14:textId="77777777" w:rsidTr="000D5BF2">
        <w:tc>
          <w:tcPr>
            <w:tcW w:w="1803" w:type="dxa"/>
          </w:tcPr>
          <w:p w14:paraId="12357234" w14:textId="77777777" w:rsidR="00162DFE" w:rsidRPr="00112910" w:rsidRDefault="00162DFE" w:rsidP="000D5BF2">
            <w:pPr>
              <w:rPr>
                <w:rFonts w:cstheme="minorHAnsi"/>
              </w:rPr>
            </w:pPr>
            <w:r w:rsidRPr="00112910">
              <w:rPr>
                <w:rFonts w:cstheme="minorHAnsi"/>
              </w:rPr>
              <w:t xml:space="preserve">Falls </w:t>
            </w:r>
          </w:p>
        </w:tc>
        <w:tc>
          <w:tcPr>
            <w:tcW w:w="1803" w:type="dxa"/>
            <w:vAlign w:val="bottom"/>
          </w:tcPr>
          <w:p w14:paraId="276AF63B" w14:textId="77777777" w:rsidR="00162DFE" w:rsidRPr="00112910" w:rsidRDefault="00162DFE" w:rsidP="000D5BF2">
            <w:pPr>
              <w:rPr>
                <w:rFonts w:cstheme="minorHAnsi"/>
              </w:rPr>
            </w:pPr>
            <w:r w:rsidRPr="00112910">
              <w:rPr>
                <w:rFonts w:cstheme="minorHAnsi"/>
                <w:color w:val="000000"/>
              </w:rPr>
              <w:t>0.096</w:t>
            </w:r>
          </w:p>
        </w:tc>
        <w:tc>
          <w:tcPr>
            <w:tcW w:w="1803" w:type="dxa"/>
            <w:vAlign w:val="bottom"/>
          </w:tcPr>
          <w:p w14:paraId="4D74F7E5" w14:textId="77777777" w:rsidR="00162DFE" w:rsidRPr="00112910" w:rsidRDefault="00162DFE" w:rsidP="000D5BF2">
            <w:pPr>
              <w:rPr>
                <w:rFonts w:cstheme="minorHAnsi"/>
              </w:rPr>
            </w:pPr>
            <w:r w:rsidRPr="00112910">
              <w:rPr>
                <w:rFonts w:cstheme="minorHAnsi"/>
                <w:color w:val="000000"/>
              </w:rPr>
              <w:t>0.094</w:t>
            </w:r>
          </w:p>
        </w:tc>
        <w:tc>
          <w:tcPr>
            <w:tcW w:w="1803" w:type="dxa"/>
            <w:vAlign w:val="bottom"/>
          </w:tcPr>
          <w:p w14:paraId="1B56EA74" w14:textId="77777777" w:rsidR="00162DFE" w:rsidRPr="00112910" w:rsidRDefault="00162DFE" w:rsidP="000D5BF2">
            <w:pPr>
              <w:rPr>
                <w:rFonts w:cstheme="minorHAnsi"/>
              </w:rPr>
            </w:pPr>
            <w:r w:rsidRPr="00112910">
              <w:rPr>
                <w:rFonts w:cstheme="minorHAnsi"/>
                <w:color w:val="000000"/>
              </w:rPr>
              <w:t>0.063</w:t>
            </w:r>
          </w:p>
        </w:tc>
        <w:tc>
          <w:tcPr>
            <w:tcW w:w="1804" w:type="dxa"/>
            <w:vAlign w:val="bottom"/>
          </w:tcPr>
          <w:p w14:paraId="706D2AF2" w14:textId="77777777" w:rsidR="00162DFE" w:rsidRPr="00112910" w:rsidRDefault="00162DFE" w:rsidP="000D5BF2">
            <w:pPr>
              <w:rPr>
                <w:rFonts w:cstheme="minorHAnsi"/>
              </w:rPr>
            </w:pPr>
            <w:r w:rsidRPr="00112910">
              <w:rPr>
                <w:rFonts w:cstheme="minorHAnsi"/>
                <w:color w:val="000000"/>
              </w:rPr>
              <w:t>0.103</w:t>
            </w:r>
          </w:p>
        </w:tc>
      </w:tr>
      <w:tr w:rsidR="00162DFE" w:rsidRPr="00112910" w14:paraId="10F2CED4" w14:textId="77777777" w:rsidTr="000D5BF2">
        <w:tc>
          <w:tcPr>
            <w:tcW w:w="1803" w:type="dxa"/>
          </w:tcPr>
          <w:p w14:paraId="24AF8593" w14:textId="77777777" w:rsidR="00162DFE" w:rsidRPr="00112910" w:rsidRDefault="00162DFE" w:rsidP="000D5BF2">
            <w:pPr>
              <w:rPr>
                <w:rFonts w:cstheme="minorHAnsi"/>
              </w:rPr>
            </w:pPr>
            <w:r w:rsidRPr="00112910">
              <w:rPr>
                <w:rFonts w:cstheme="minorHAnsi"/>
              </w:rPr>
              <w:t>Dementia Hospitalisation</w:t>
            </w:r>
          </w:p>
        </w:tc>
        <w:tc>
          <w:tcPr>
            <w:tcW w:w="1803" w:type="dxa"/>
            <w:vAlign w:val="bottom"/>
          </w:tcPr>
          <w:p w14:paraId="7CA41CA9" w14:textId="77777777" w:rsidR="00162DFE" w:rsidRPr="00112910" w:rsidRDefault="00162DFE" w:rsidP="000D5BF2">
            <w:pPr>
              <w:rPr>
                <w:rFonts w:cstheme="minorHAnsi"/>
              </w:rPr>
            </w:pPr>
            <w:r w:rsidRPr="00112910">
              <w:rPr>
                <w:rFonts w:cstheme="minorHAnsi"/>
                <w:color w:val="000000"/>
              </w:rPr>
              <w:t>0.035</w:t>
            </w:r>
          </w:p>
        </w:tc>
        <w:tc>
          <w:tcPr>
            <w:tcW w:w="1803" w:type="dxa"/>
            <w:vAlign w:val="bottom"/>
          </w:tcPr>
          <w:p w14:paraId="3EEC6B71" w14:textId="77777777" w:rsidR="00162DFE" w:rsidRPr="00112910" w:rsidRDefault="00162DFE" w:rsidP="000D5BF2">
            <w:pPr>
              <w:rPr>
                <w:rFonts w:cstheme="minorHAnsi"/>
              </w:rPr>
            </w:pPr>
            <w:r w:rsidRPr="00112910">
              <w:rPr>
                <w:rFonts w:cstheme="minorHAnsi"/>
                <w:color w:val="000000"/>
              </w:rPr>
              <w:t>0.038</w:t>
            </w:r>
          </w:p>
        </w:tc>
        <w:tc>
          <w:tcPr>
            <w:tcW w:w="1803" w:type="dxa"/>
            <w:vAlign w:val="bottom"/>
          </w:tcPr>
          <w:p w14:paraId="0EE2A532" w14:textId="77777777" w:rsidR="00162DFE" w:rsidRPr="00112910" w:rsidRDefault="00162DFE" w:rsidP="000D5BF2">
            <w:pPr>
              <w:rPr>
                <w:rFonts w:cstheme="minorHAnsi"/>
              </w:rPr>
            </w:pPr>
            <w:r w:rsidRPr="00112910">
              <w:rPr>
                <w:rFonts w:cstheme="minorHAnsi"/>
                <w:color w:val="000000"/>
              </w:rPr>
              <w:t>0.02</w:t>
            </w:r>
          </w:p>
        </w:tc>
        <w:tc>
          <w:tcPr>
            <w:tcW w:w="1804" w:type="dxa"/>
            <w:vAlign w:val="bottom"/>
          </w:tcPr>
          <w:p w14:paraId="27E82C28" w14:textId="77777777" w:rsidR="00162DFE" w:rsidRPr="00112910" w:rsidRDefault="00162DFE" w:rsidP="000D5BF2">
            <w:pPr>
              <w:rPr>
                <w:rFonts w:cstheme="minorHAnsi"/>
              </w:rPr>
            </w:pPr>
            <w:r w:rsidRPr="00112910">
              <w:rPr>
                <w:rFonts w:cstheme="minorHAnsi"/>
                <w:color w:val="000000"/>
              </w:rPr>
              <w:t>0.035</w:t>
            </w:r>
          </w:p>
        </w:tc>
      </w:tr>
      <w:tr w:rsidR="00162DFE" w:rsidRPr="00112910" w14:paraId="157549F7" w14:textId="77777777" w:rsidTr="000D5BF2">
        <w:tc>
          <w:tcPr>
            <w:tcW w:w="1803" w:type="dxa"/>
          </w:tcPr>
          <w:p w14:paraId="4DF55BC1" w14:textId="77777777" w:rsidR="00162DFE" w:rsidRPr="00112910" w:rsidRDefault="00162DFE" w:rsidP="000D5BF2">
            <w:pPr>
              <w:rPr>
                <w:rFonts w:cstheme="minorHAnsi"/>
              </w:rPr>
            </w:pPr>
            <w:r w:rsidRPr="00112910">
              <w:rPr>
                <w:rFonts w:cstheme="minorHAnsi"/>
              </w:rPr>
              <w:t>Pressure Injuries</w:t>
            </w:r>
          </w:p>
        </w:tc>
        <w:tc>
          <w:tcPr>
            <w:tcW w:w="1803" w:type="dxa"/>
            <w:vAlign w:val="bottom"/>
          </w:tcPr>
          <w:p w14:paraId="58CDD28E" w14:textId="77777777" w:rsidR="00162DFE" w:rsidRPr="00112910" w:rsidRDefault="00162DFE" w:rsidP="000D5BF2">
            <w:pPr>
              <w:rPr>
                <w:rFonts w:cstheme="minorHAnsi"/>
              </w:rPr>
            </w:pPr>
            <w:r w:rsidRPr="00112910">
              <w:rPr>
                <w:rFonts w:cstheme="minorHAnsi"/>
                <w:color w:val="000000"/>
              </w:rPr>
              <w:t>0.033</w:t>
            </w:r>
          </w:p>
        </w:tc>
        <w:tc>
          <w:tcPr>
            <w:tcW w:w="1803" w:type="dxa"/>
            <w:vAlign w:val="bottom"/>
          </w:tcPr>
          <w:p w14:paraId="6B136A73" w14:textId="77777777" w:rsidR="00162DFE" w:rsidRPr="00112910" w:rsidRDefault="00162DFE" w:rsidP="000D5BF2">
            <w:pPr>
              <w:rPr>
                <w:rFonts w:cstheme="minorHAnsi"/>
              </w:rPr>
            </w:pPr>
            <w:r w:rsidRPr="00112910">
              <w:rPr>
                <w:rFonts w:cstheme="minorHAnsi"/>
                <w:color w:val="000000"/>
              </w:rPr>
              <w:t>0.037</w:t>
            </w:r>
          </w:p>
        </w:tc>
        <w:tc>
          <w:tcPr>
            <w:tcW w:w="1803" w:type="dxa"/>
            <w:vAlign w:val="bottom"/>
          </w:tcPr>
          <w:p w14:paraId="62E7A7F3" w14:textId="77777777" w:rsidR="00162DFE" w:rsidRPr="00112910" w:rsidRDefault="00162DFE" w:rsidP="000D5BF2">
            <w:pPr>
              <w:rPr>
                <w:rFonts w:cstheme="minorHAnsi"/>
              </w:rPr>
            </w:pPr>
            <w:r w:rsidRPr="00112910">
              <w:rPr>
                <w:rFonts w:cstheme="minorHAnsi"/>
                <w:color w:val="000000"/>
              </w:rPr>
              <w:t>0.018</w:t>
            </w:r>
          </w:p>
        </w:tc>
        <w:tc>
          <w:tcPr>
            <w:tcW w:w="1804" w:type="dxa"/>
            <w:vAlign w:val="bottom"/>
          </w:tcPr>
          <w:p w14:paraId="6C22FDF3" w14:textId="77777777" w:rsidR="00162DFE" w:rsidRPr="00112910" w:rsidRDefault="00162DFE" w:rsidP="000D5BF2">
            <w:pPr>
              <w:rPr>
                <w:rFonts w:cstheme="minorHAnsi"/>
              </w:rPr>
            </w:pPr>
            <w:r w:rsidRPr="00112910">
              <w:rPr>
                <w:rFonts w:cstheme="minorHAnsi"/>
                <w:color w:val="000000"/>
              </w:rPr>
              <w:t>0.033</w:t>
            </w:r>
          </w:p>
        </w:tc>
      </w:tr>
      <w:tr w:rsidR="00162DFE" w:rsidRPr="00112910" w14:paraId="6BB7CBA4" w14:textId="77777777" w:rsidTr="000D5BF2">
        <w:tc>
          <w:tcPr>
            <w:tcW w:w="1803" w:type="dxa"/>
          </w:tcPr>
          <w:p w14:paraId="4FA357C7" w14:textId="77777777" w:rsidR="00162DFE" w:rsidRPr="00112910" w:rsidRDefault="00162DFE" w:rsidP="000D5BF2">
            <w:pPr>
              <w:rPr>
                <w:rFonts w:cstheme="minorHAnsi"/>
              </w:rPr>
            </w:pPr>
            <w:r w:rsidRPr="00112910">
              <w:rPr>
                <w:rFonts w:cstheme="minorHAnsi"/>
              </w:rPr>
              <w:t>Adverse Medication</w:t>
            </w:r>
          </w:p>
        </w:tc>
        <w:tc>
          <w:tcPr>
            <w:tcW w:w="1803" w:type="dxa"/>
            <w:vAlign w:val="bottom"/>
          </w:tcPr>
          <w:p w14:paraId="486B5F55" w14:textId="77777777" w:rsidR="00162DFE" w:rsidRPr="00112910" w:rsidRDefault="00162DFE" w:rsidP="000D5BF2">
            <w:pPr>
              <w:rPr>
                <w:rFonts w:cstheme="minorHAnsi"/>
              </w:rPr>
            </w:pPr>
            <w:r w:rsidRPr="00112910">
              <w:rPr>
                <w:rFonts w:cstheme="minorHAnsi"/>
                <w:color w:val="000000"/>
              </w:rPr>
              <w:t>0.016</w:t>
            </w:r>
          </w:p>
        </w:tc>
        <w:tc>
          <w:tcPr>
            <w:tcW w:w="1803" w:type="dxa"/>
            <w:vAlign w:val="bottom"/>
          </w:tcPr>
          <w:p w14:paraId="5A352B40" w14:textId="77777777" w:rsidR="00162DFE" w:rsidRPr="00112910" w:rsidRDefault="00162DFE" w:rsidP="000D5BF2">
            <w:pPr>
              <w:rPr>
                <w:rFonts w:cstheme="minorHAnsi"/>
              </w:rPr>
            </w:pPr>
            <w:r w:rsidRPr="00112910">
              <w:rPr>
                <w:rFonts w:cstheme="minorHAnsi"/>
                <w:color w:val="000000"/>
              </w:rPr>
              <w:t>0.015</w:t>
            </w:r>
          </w:p>
        </w:tc>
        <w:tc>
          <w:tcPr>
            <w:tcW w:w="1803" w:type="dxa"/>
            <w:vAlign w:val="bottom"/>
          </w:tcPr>
          <w:p w14:paraId="44C91B41" w14:textId="77777777" w:rsidR="00162DFE" w:rsidRPr="00112910" w:rsidRDefault="00162DFE" w:rsidP="000D5BF2">
            <w:pPr>
              <w:rPr>
                <w:rFonts w:cstheme="minorHAnsi"/>
              </w:rPr>
            </w:pPr>
            <w:r w:rsidRPr="00112910">
              <w:rPr>
                <w:rFonts w:cstheme="minorHAnsi"/>
                <w:color w:val="000000"/>
              </w:rPr>
              <w:t>0.011</w:t>
            </w:r>
          </w:p>
        </w:tc>
        <w:tc>
          <w:tcPr>
            <w:tcW w:w="1804" w:type="dxa"/>
            <w:vAlign w:val="bottom"/>
          </w:tcPr>
          <w:p w14:paraId="722760C1" w14:textId="77777777" w:rsidR="00162DFE" w:rsidRPr="00112910" w:rsidRDefault="00162DFE" w:rsidP="000D5BF2">
            <w:pPr>
              <w:rPr>
                <w:rFonts w:cstheme="minorHAnsi"/>
              </w:rPr>
            </w:pPr>
            <w:r w:rsidRPr="00112910">
              <w:rPr>
                <w:rFonts w:cstheme="minorHAnsi"/>
                <w:color w:val="000000"/>
              </w:rPr>
              <w:t>0.016</w:t>
            </w:r>
          </w:p>
        </w:tc>
      </w:tr>
      <w:tr w:rsidR="00162DFE" w:rsidRPr="00112910" w14:paraId="7C9247D1" w14:textId="77777777" w:rsidTr="000D5BF2">
        <w:tc>
          <w:tcPr>
            <w:tcW w:w="1803" w:type="dxa"/>
          </w:tcPr>
          <w:p w14:paraId="050C326A" w14:textId="77777777" w:rsidR="00162DFE" w:rsidRPr="00112910" w:rsidRDefault="00162DFE" w:rsidP="000D5BF2">
            <w:pPr>
              <w:rPr>
                <w:rFonts w:cstheme="minorHAnsi"/>
              </w:rPr>
            </w:pPr>
            <w:r w:rsidRPr="00112910">
              <w:rPr>
                <w:rFonts w:cstheme="minorHAnsi"/>
              </w:rPr>
              <w:t>Complaints</w:t>
            </w:r>
          </w:p>
        </w:tc>
        <w:tc>
          <w:tcPr>
            <w:tcW w:w="1803" w:type="dxa"/>
            <w:vAlign w:val="bottom"/>
          </w:tcPr>
          <w:p w14:paraId="3FF6CC46" w14:textId="77777777" w:rsidR="00162DFE" w:rsidRPr="00112910" w:rsidRDefault="00162DFE" w:rsidP="000D5BF2">
            <w:pPr>
              <w:rPr>
                <w:rFonts w:cstheme="minorHAnsi"/>
              </w:rPr>
            </w:pPr>
            <w:r w:rsidRPr="00112910">
              <w:rPr>
                <w:rFonts w:cstheme="minorHAnsi"/>
                <w:color w:val="000000"/>
              </w:rPr>
              <w:t>1.401</w:t>
            </w:r>
          </w:p>
        </w:tc>
        <w:tc>
          <w:tcPr>
            <w:tcW w:w="1803" w:type="dxa"/>
            <w:vAlign w:val="bottom"/>
          </w:tcPr>
          <w:p w14:paraId="7A076302" w14:textId="77777777" w:rsidR="00162DFE" w:rsidRPr="00112910" w:rsidRDefault="00162DFE" w:rsidP="000D5BF2">
            <w:pPr>
              <w:rPr>
                <w:rFonts w:cstheme="minorHAnsi"/>
              </w:rPr>
            </w:pPr>
            <w:r w:rsidRPr="00112910">
              <w:rPr>
                <w:rFonts w:cstheme="minorHAnsi"/>
                <w:color w:val="000000"/>
              </w:rPr>
              <w:t>2.248</w:t>
            </w:r>
          </w:p>
        </w:tc>
        <w:tc>
          <w:tcPr>
            <w:tcW w:w="1803" w:type="dxa"/>
            <w:vAlign w:val="bottom"/>
          </w:tcPr>
          <w:p w14:paraId="086E2BCE" w14:textId="77777777" w:rsidR="00162DFE" w:rsidRPr="00112910" w:rsidRDefault="00162DFE" w:rsidP="000D5BF2">
            <w:pPr>
              <w:rPr>
                <w:rFonts w:cstheme="minorHAnsi"/>
              </w:rPr>
            </w:pPr>
            <w:r w:rsidRPr="00112910">
              <w:rPr>
                <w:rFonts w:cstheme="minorHAnsi"/>
                <w:color w:val="000000"/>
              </w:rPr>
              <w:t>0.3</w:t>
            </w:r>
          </w:p>
        </w:tc>
        <w:tc>
          <w:tcPr>
            <w:tcW w:w="1804" w:type="dxa"/>
            <w:vAlign w:val="bottom"/>
          </w:tcPr>
          <w:p w14:paraId="05933CDB" w14:textId="77777777" w:rsidR="00162DFE" w:rsidRPr="00112910" w:rsidRDefault="00162DFE" w:rsidP="000D5BF2">
            <w:pPr>
              <w:rPr>
                <w:rFonts w:cstheme="minorHAnsi"/>
              </w:rPr>
            </w:pPr>
            <w:r w:rsidRPr="00112910">
              <w:rPr>
                <w:rFonts w:cstheme="minorHAnsi"/>
                <w:color w:val="000000"/>
              </w:rPr>
              <w:t>1.231</w:t>
            </w:r>
          </w:p>
        </w:tc>
      </w:tr>
      <w:tr w:rsidR="00162DFE" w:rsidRPr="00112910" w14:paraId="6149C67E" w14:textId="77777777" w:rsidTr="000D5BF2">
        <w:tc>
          <w:tcPr>
            <w:tcW w:w="1803" w:type="dxa"/>
          </w:tcPr>
          <w:p w14:paraId="12DA07DA" w14:textId="77777777" w:rsidR="00162DFE" w:rsidRPr="00112910" w:rsidRDefault="00162DFE" w:rsidP="000D5BF2">
            <w:pPr>
              <w:rPr>
                <w:rFonts w:cstheme="minorHAnsi"/>
              </w:rPr>
            </w:pPr>
            <w:r w:rsidRPr="00112910">
              <w:rPr>
                <w:rFonts w:cstheme="minorHAnsi"/>
              </w:rPr>
              <w:t>Assaults</w:t>
            </w:r>
          </w:p>
        </w:tc>
        <w:tc>
          <w:tcPr>
            <w:tcW w:w="1803" w:type="dxa"/>
            <w:vAlign w:val="bottom"/>
          </w:tcPr>
          <w:p w14:paraId="516BF176" w14:textId="77777777" w:rsidR="00162DFE" w:rsidRPr="00112910" w:rsidRDefault="00162DFE" w:rsidP="000D5BF2">
            <w:pPr>
              <w:rPr>
                <w:rFonts w:cstheme="minorHAnsi"/>
              </w:rPr>
            </w:pPr>
            <w:r w:rsidRPr="00112910">
              <w:rPr>
                <w:rFonts w:cstheme="minorHAnsi"/>
                <w:color w:val="000000"/>
              </w:rPr>
              <w:t>1.268</w:t>
            </w:r>
          </w:p>
        </w:tc>
        <w:tc>
          <w:tcPr>
            <w:tcW w:w="1803" w:type="dxa"/>
            <w:vAlign w:val="bottom"/>
          </w:tcPr>
          <w:p w14:paraId="351B2FB5" w14:textId="77777777" w:rsidR="00162DFE" w:rsidRPr="00112910" w:rsidRDefault="00162DFE" w:rsidP="000D5BF2">
            <w:pPr>
              <w:rPr>
                <w:rFonts w:cstheme="minorHAnsi"/>
              </w:rPr>
            </w:pPr>
            <w:r w:rsidRPr="00112910">
              <w:rPr>
                <w:rFonts w:cstheme="minorHAnsi"/>
                <w:color w:val="000000"/>
              </w:rPr>
              <w:t>1.738</w:t>
            </w:r>
          </w:p>
        </w:tc>
        <w:tc>
          <w:tcPr>
            <w:tcW w:w="1803" w:type="dxa"/>
            <w:vAlign w:val="bottom"/>
          </w:tcPr>
          <w:p w14:paraId="6F02058C" w14:textId="77777777" w:rsidR="00162DFE" w:rsidRPr="00112910" w:rsidRDefault="00162DFE" w:rsidP="000D5BF2">
            <w:pPr>
              <w:rPr>
                <w:rFonts w:cstheme="minorHAnsi"/>
              </w:rPr>
            </w:pPr>
            <w:r w:rsidRPr="00112910">
              <w:rPr>
                <w:rFonts w:cstheme="minorHAnsi"/>
                <w:color w:val="000000"/>
              </w:rPr>
              <w:t>0.395</w:t>
            </w:r>
          </w:p>
        </w:tc>
        <w:tc>
          <w:tcPr>
            <w:tcW w:w="1804" w:type="dxa"/>
            <w:vAlign w:val="bottom"/>
          </w:tcPr>
          <w:p w14:paraId="3B9BC10C" w14:textId="77777777" w:rsidR="00162DFE" w:rsidRPr="00112910" w:rsidRDefault="00162DFE" w:rsidP="000D5BF2">
            <w:pPr>
              <w:rPr>
                <w:rFonts w:cstheme="minorHAnsi"/>
              </w:rPr>
            </w:pPr>
            <w:r w:rsidRPr="00112910">
              <w:rPr>
                <w:rFonts w:cstheme="minorHAnsi"/>
                <w:color w:val="000000"/>
              </w:rPr>
              <w:t>1.244</w:t>
            </w:r>
          </w:p>
        </w:tc>
      </w:tr>
      <w:tr w:rsidR="00162DFE" w:rsidRPr="00112910" w14:paraId="4FB08F06" w14:textId="77777777" w:rsidTr="000D5BF2">
        <w:tc>
          <w:tcPr>
            <w:tcW w:w="1803" w:type="dxa"/>
          </w:tcPr>
          <w:p w14:paraId="6650C782" w14:textId="77777777" w:rsidR="00162DFE" w:rsidRPr="00112910" w:rsidRDefault="00162DFE" w:rsidP="000D5BF2">
            <w:pPr>
              <w:rPr>
                <w:rFonts w:cstheme="minorHAnsi"/>
              </w:rPr>
            </w:pPr>
            <w:r w:rsidRPr="00112910">
              <w:rPr>
                <w:rFonts w:cstheme="minorHAnsi"/>
              </w:rPr>
              <w:t>Total Hours of Care</w:t>
            </w:r>
          </w:p>
        </w:tc>
        <w:tc>
          <w:tcPr>
            <w:tcW w:w="1803" w:type="dxa"/>
            <w:vAlign w:val="bottom"/>
          </w:tcPr>
          <w:p w14:paraId="4402AA1B" w14:textId="77777777" w:rsidR="00162DFE" w:rsidRPr="00112910" w:rsidRDefault="00162DFE" w:rsidP="000D5BF2">
            <w:pPr>
              <w:rPr>
                <w:rFonts w:cstheme="minorHAnsi"/>
              </w:rPr>
            </w:pPr>
            <w:r w:rsidRPr="00112910">
              <w:rPr>
                <w:rFonts w:cstheme="minorHAnsi"/>
                <w:color w:val="000000"/>
              </w:rPr>
              <w:t>3.019</w:t>
            </w:r>
          </w:p>
        </w:tc>
        <w:tc>
          <w:tcPr>
            <w:tcW w:w="1803" w:type="dxa"/>
            <w:vAlign w:val="bottom"/>
          </w:tcPr>
          <w:p w14:paraId="3544AC85" w14:textId="77777777" w:rsidR="00162DFE" w:rsidRPr="00112910" w:rsidRDefault="00162DFE" w:rsidP="000D5BF2">
            <w:pPr>
              <w:rPr>
                <w:rFonts w:cstheme="minorHAnsi"/>
              </w:rPr>
            </w:pPr>
            <w:r w:rsidRPr="00112910">
              <w:rPr>
                <w:rFonts w:cstheme="minorHAnsi"/>
                <w:color w:val="000000"/>
              </w:rPr>
              <w:t>2.961</w:t>
            </w:r>
          </w:p>
        </w:tc>
        <w:tc>
          <w:tcPr>
            <w:tcW w:w="1803" w:type="dxa"/>
            <w:vAlign w:val="bottom"/>
          </w:tcPr>
          <w:p w14:paraId="269B3492" w14:textId="77777777" w:rsidR="00162DFE" w:rsidRPr="00112910" w:rsidRDefault="00162DFE" w:rsidP="000D5BF2">
            <w:pPr>
              <w:rPr>
                <w:rFonts w:cstheme="minorHAnsi"/>
              </w:rPr>
            </w:pPr>
            <w:r w:rsidRPr="00112910">
              <w:rPr>
                <w:rFonts w:cstheme="minorHAnsi"/>
                <w:color w:val="000000"/>
              </w:rPr>
              <w:t>3.777</w:t>
            </w:r>
          </w:p>
        </w:tc>
        <w:tc>
          <w:tcPr>
            <w:tcW w:w="1804" w:type="dxa"/>
            <w:vAlign w:val="bottom"/>
          </w:tcPr>
          <w:p w14:paraId="2B3C9F1B" w14:textId="77777777" w:rsidR="00162DFE" w:rsidRPr="00112910" w:rsidRDefault="00162DFE" w:rsidP="000D5BF2">
            <w:pPr>
              <w:rPr>
                <w:rFonts w:cstheme="minorHAnsi"/>
              </w:rPr>
            </w:pPr>
            <w:r w:rsidRPr="00112910">
              <w:rPr>
                <w:rFonts w:cstheme="minorHAnsi"/>
                <w:color w:val="000000"/>
              </w:rPr>
              <w:t>2.967</w:t>
            </w:r>
          </w:p>
        </w:tc>
      </w:tr>
      <w:tr w:rsidR="00162DFE" w:rsidRPr="00112910" w14:paraId="759FABA1" w14:textId="77777777" w:rsidTr="000D5BF2">
        <w:tc>
          <w:tcPr>
            <w:tcW w:w="1803" w:type="dxa"/>
          </w:tcPr>
          <w:p w14:paraId="436BA635" w14:textId="77777777" w:rsidR="00162DFE" w:rsidRPr="00112910" w:rsidRDefault="00162DFE" w:rsidP="000D5BF2">
            <w:pPr>
              <w:rPr>
                <w:rFonts w:cstheme="minorHAnsi"/>
              </w:rPr>
            </w:pPr>
            <w:r w:rsidRPr="00112910">
              <w:rPr>
                <w:rFonts w:cstheme="minorHAnsi"/>
              </w:rPr>
              <w:t>Registered Nurse Hours</w:t>
            </w:r>
          </w:p>
        </w:tc>
        <w:tc>
          <w:tcPr>
            <w:tcW w:w="1803" w:type="dxa"/>
            <w:vAlign w:val="bottom"/>
          </w:tcPr>
          <w:p w14:paraId="13D40E9B" w14:textId="77777777" w:rsidR="00162DFE" w:rsidRPr="00112910" w:rsidRDefault="00162DFE" w:rsidP="000D5BF2">
            <w:pPr>
              <w:rPr>
                <w:rFonts w:cstheme="minorHAnsi"/>
              </w:rPr>
            </w:pPr>
            <w:r w:rsidRPr="00112910">
              <w:rPr>
                <w:rFonts w:cstheme="minorHAnsi"/>
                <w:color w:val="000000"/>
              </w:rPr>
              <w:t>0.436</w:t>
            </w:r>
          </w:p>
        </w:tc>
        <w:tc>
          <w:tcPr>
            <w:tcW w:w="1803" w:type="dxa"/>
            <w:vAlign w:val="bottom"/>
          </w:tcPr>
          <w:p w14:paraId="4941117F" w14:textId="77777777" w:rsidR="00162DFE" w:rsidRPr="00112910" w:rsidRDefault="00162DFE" w:rsidP="000D5BF2">
            <w:pPr>
              <w:rPr>
                <w:rFonts w:cstheme="minorHAnsi"/>
              </w:rPr>
            </w:pPr>
            <w:r w:rsidRPr="00112910">
              <w:rPr>
                <w:rFonts w:cstheme="minorHAnsi"/>
                <w:color w:val="000000"/>
              </w:rPr>
              <w:t>0.462</w:t>
            </w:r>
          </w:p>
        </w:tc>
        <w:tc>
          <w:tcPr>
            <w:tcW w:w="1803" w:type="dxa"/>
            <w:vAlign w:val="bottom"/>
          </w:tcPr>
          <w:p w14:paraId="60491006" w14:textId="77777777" w:rsidR="00162DFE" w:rsidRPr="00112910" w:rsidRDefault="00162DFE" w:rsidP="000D5BF2">
            <w:pPr>
              <w:rPr>
                <w:rFonts w:cstheme="minorHAnsi"/>
              </w:rPr>
            </w:pPr>
            <w:r w:rsidRPr="00112910">
              <w:rPr>
                <w:rFonts w:cstheme="minorHAnsi"/>
                <w:color w:val="000000"/>
              </w:rPr>
              <w:t>0.772</w:t>
            </w:r>
          </w:p>
        </w:tc>
        <w:tc>
          <w:tcPr>
            <w:tcW w:w="1804" w:type="dxa"/>
            <w:vAlign w:val="bottom"/>
          </w:tcPr>
          <w:p w14:paraId="6DF89CAE" w14:textId="77777777" w:rsidR="00162DFE" w:rsidRPr="00112910" w:rsidRDefault="00162DFE" w:rsidP="000D5BF2">
            <w:pPr>
              <w:rPr>
                <w:rFonts w:cstheme="minorHAnsi"/>
              </w:rPr>
            </w:pPr>
            <w:r w:rsidRPr="00112910">
              <w:rPr>
                <w:rFonts w:cstheme="minorHAnsi"/>
                <w:color w:val="000000"/>
              </w:rPr>
              <w:t>0.366</w:t>
            </w:r>
          </w:p>
        </w:tc>
      </w:tr>
      <w:tr w:rsidR="00162DFE" w:rsidRPr="00112910" w14:paraId="3FA5CB19" w14:textId="77777777" w:rsidTr="000D5BF2">
        <w:tc>
          <w:tcPr>
            <w:tcW w:w="1803" w:type="dxa"/>
          </w:tcPr>
          <w:p w14:paraId="09883966" w14:textId="77777777" w:rsidR="00162DFE" w:rsidRPr="00112910" w:rsidRDefault="00162DFE" w:rsidP="000D5BF2">
            <w:pPr>
              <w:rPr>
                <w:rFonts w:cstheme="minorHAnsi"/>
              </w:rPr>
            </w:pPr>
            <w:r w:rsidRPr="00112910">
              <w:rPr>
                <w:rFonts w:cstheme="minorHAnsi"/>
              </w:rPr>
              <w:t>Provider Price ($)</w:t>
            </w:r>
          </w:p>
        </w:tc>
        <w:tc>
          <w:tcPr>
            <w:tcW w:w="1803" w:type="dxa"/>
            <w:vAlign w:val="bottom"/>
          </w:tcPr>
          <w:p w14:paraId="4A0EC5E9" w14:textId="77777777" w:rsidR="00162DFE" w:rsidRPr="00112910" w:rsidRDefault="00162DFE" w:rsidP="000D5BF2">
            <w:pPr>
              <w:rPr>
                <w:rFonts w:cstheme="minorHAnsi"/>
              </w:rPr>
            </w:pPr>
            <w:r w:rsidRPr="00112910">
              <w:rPr>
                <w:rFonts w:cstheme="minorHAnsi"/>
                <w:color w:val="000000"/>
              </w:rPr>
              <w:t>233.4</w:t>
            </w:r>
          </w:p>
        </w:tc>
        <w:tc>
          <w:tcPr>
            <w:tcW w:w="1803" w:type="dxa"/>
            <w:vAlign w:val="bottom"/>
          </w:tcPr>
          <w:p w14:paraId="33CB5CE7" w14:textId="77777777" w:rsidR="00162DFE" w:rsidRPr="00112910" w:rsidRDefault="00162DFE" w:rsidP="000D5BF2">
            <w:pPr>
              <w:rPr>
                <w:rFonts w:cstheme="minorHAnsi"/>
              </w:rPr>
            </w:pPr>
            <w:r w:rsidRPr="00112910">
              <w:rPr>
                <w:rFonts w:cstheme="minorHAnsi"/>
                <w:color w:val="000000"/>
              </w:rPr>
              <w:t>252.6</w:t>
            </w:r>
          </w:p>
        </w:tc>
        <w:tc>
          <w:tcPr>
            <w:tcW w:w="1803" w:type="dxa"/>
            <w:vAlign w:val="bottom"/>
          </w:tcPr>
          <w:p w14:paraId="1BB7DAEB" w14:textId="77777777" w:rsidR="00162DFE" w:rsidRPr="00112910" w:rsidRDefault="00162DFE" w:rsidP="000D5BF2">
            <w:pPr>
              <w:rPr>
                <w:rFonts w:cstheme="minorHAnsi"/>
              </w:rPr>
            </w:pPr>
            <w:r w:rsidRPr="00112910">
              <w:rPr>
                <w:rFonts w:cstheme="minorHAnsi"/>
                <w:color w:val="000000"/>
              </w:rPr>
              <w:t>207.6</w:t>
            </w:r>
          </w:p>
        </w:tc>
        <w:tc>
          <w:tcPr>
            <w:tcW w:w="1804" w:type="dxa"/>
            <w:vAlign w:val="bottom"/>
          </w:tcPr>
          <w:p w14:paraId="77562A68" w14:textId="77777777" w:rsidR="00162DFE" w:rsidRPr="00112910" w:rsidRDefault="00162DFE" w:rsidP="000D5BF2">
            <w:pPr>
              <w:rPr>
                <w:rFonts w:cstheme="minorHAnsi"/>
              </w:rPr>
            </w:pPr>
            <w:r w:rsidRPr="00112910">
              <w:rPr>
                <w:rFonts w:cstheme="minorHAnsi"/>
                <w:color w:val="000000"/>
              </w:rPr>
              <w:t>227.1</w:t>
            </w:r>
          </w:p>
        </w:tc>
      </w:tr>
    </w:tbl>
    <w:p w14:paraId="190C9B01" w14:textId="22791E1A" w:rsidR="00AD04FE" w:rsidRPr="000C2BEB" w:rsidRDefault="005604AE" w:rsidP="00FD1261">
      <w:pPr>
        <w:spacing w:after="240"/>
        <w:jc w:val="both"/>
        <w:rPr>
          <w:rFonts w:cstheme="minorHAnsi"/>
        </w:rPr>
      </w:pPr>
      <w:r>
        <w:rPr>
          <w:rFonts w:cstheme="minorHAnsi"/>
        </w:rPr>
        <w:t>Source: Reproduced from Yong et al. (2021)</w:t>
      </w:r>
    </w:p>
    <w:p w14:paraId="444BB705" w14:textId="3F9DA11B" w:rsidR="000C2BEB" w:rsidRDefault="00FD50EE" w:rsidP="00FD1261">
      <w:pPr>
        <w:spacing w:after="240"/>
        <w:jc w:val="both"/>
        <w:rPr>
          <w:rFonts w:cstheme="minorHAnsi"/>
          <w:color w:val="000000"/>
          <w:lang w:val="en-GB"/>
        </w:rPr>
      </w:pPr>
      <w:r>
        <w:rPr>
          <w:rFonts w:cstheme="minorHAnsi"/>
        </w:rPr>
        <w:t xml:space="preserve">Therefore, divesting Blue Haven from being a government-run facility to for-profit or not-for-profit is likely to </w:t>
      </w:r>
      <w:r w:rsidR="000C2BEB">
        <w:rPr>
          <w:rFonts w:cstheme="minorHAnsi"/>
        </w:rPr>
        <w:t>result in</w:t>
      </w:r>
      <w:r>
        <w:rPr>
          <w:rFonts w:cstheme="minorHAnsi"/>
        </w:rPr>
        <w:t xml:space="preserve"> a </w:t>
      </w:r>
      <w:r w:rsidR="000C2BEB">
        <w:rPr>
          <w:rFonts w:cstheme="minorHAnsi"/>
        </w:rPr>
        <w:t>wide range of</w:t>
      </w:r>
      <w:r>
        <w:rPr>
          <w:rFonts w:cstheme="minorHAnsi"/>
        </w:rPr>
        <w:t xml:space="preserve"> poor outcomes for residents. </w:t>
      </w:r>
    </w:p>
    <w:p w14:paraId="1D3A4EDE" w14:textId="77777777" w:rsidR="002C1805" w:rsidRPr="002C1805" w:rsidRDefault="002C1805" w:rsidP="00FD1261">
      <w:pPr>
        <w:spacing w:after="240"/>
        <w:jc w:val="both"/>
        <w:rPr>
          <w:rFonts w:cstheme="minorHAnsi"/>
          <w:color w:val="000000"/>
          <w:lang w:val="en-GB"/>
        </w:rPr>
      </w:pPr>
    </w:p>
    <w:p w14:paraId="3C44196C" w14:textId="6FE1CB93" w:rsidR="0091655D" w:rsidRPr="006B0690" w:rsidRDefault="006B0690" w:rsidP="00FD1261">
      <w:pPr>
        <w:spacing w:after="240"/>
        <w:jc w:val="both"/>
        <w:rPr>
          <w:rFonts w:cstheme="minorHAnsi"/>
          <w:b/>
          <w:bCs/>
        </w:rPr>
      </w:pPr>
      <w:r w:rsidRPr="006B0690">
        <w:rPr>
          <w:rFonts w:cstheme="minorHAnsi"/>
          <w:b/>
          <w:bCs/>
        </w:rPr>
        <w:t xml:space="preserve">Blue Haven </w:t>
      </w:r>
      <w:r w:rsidR="0091655D" w:rsidRPr="006B0690">
        <w:rPr>
          <w:rFonts w:cstheme="minorHAnsi"/>
          <w:b/>
          <w:bCs/>
        </w:rPr>
        <w:t>Employees</w:t>
      </w:r>
    </w:p>
    <w:p w14:paraId="0341D959" w14:textId="59678332" w:rsidR="00FD50EE" w:rsidRPr="000C2BEB" w:rsidRDefault="001B66BA" w:rsidP="00FD1261">
      <w:pPr>
        <w:spacing w:after="240"/>
        <w:jc w:val="both"/>
        <w:rPr>
          <w:rFonts w:ascii="Calibri" w:eastAsia="Times New Roman" w:hAnsi="Calibri" w:cs="Calibri"/>
          <w:color w:val="212121"/>
          <w:sz w:val="22"/>
          <w:szCs w:val="22"/>
          <w:lang w:eastAsia="en-GB"/>
        </w:rPr>
      </w:pPr>
      <w:r>
        <w:rPr>
          <w:rFonts w:cstheme="minorHAnsi"/>
        </w:rPr>
        <w:t xml:space="preserve">Approximately 250 Blue Haven employees’ </w:t>
      </w:r>
      <w:r w:rsidRPr="008727CB">
        <w:rPr>
          <w:rFonts w:cstheme="minorHAnsi"/>
        </w:rPr>
        <w:t>wages an</w:t>
      </w:r>
      <w:r w:rsidRPr="00BE6F3C">
        <w:rPr>
          <w:rFonts w:cstheme="minorHAnsi"/>
          <w:color w:val="000000" w:themeColor="text1"/>
        </w:rPr>
        <w:t xml:space="preserve">d conditions are covered by </w:t>
      </w:r>
      <w:r w:rsidR="0059539E" w:rsidRPr="00BE6F3C">
        <w:rPr>
          <w:rFonts w:cstheme="minorHAnsi"/>
          <w:color w:val="000000" w:themeColor="text1"/>
        </w:rPr>
        <w:t>either the Local Government (State) Award</w:t>
      </w:r>
      <w:r w:rsidR="00150F70" w:rsidRPr="00BE6F3C">
        <w:rPr>
          <w:rFonts w:cstheme="minorHAnsi"/>
          <w:color w:val="000000" w:themeColor="text1"/>
        </w:rPr>
        <w:t>,</w:t>
      </w:r>
      <w:r w:rsidR="0059539E" w:rsidRPr="00BE6F3C">
        <w:rPr>
          <w:rFonts w:cstheme="minorHAnsi"/>
          <w:color w:val="000000" w:themeColor="text1"/>
        </w:rPr>
        <w:t xml:space="preserve"> </w:t>
      </w:r>
      <w:r w:rsidR="008727CB" w:rsidRPr="0054591F">
        <w:rPr>
          <w:rFonts w:ascii="Calibri" w:eastAsia="Times New Roman" w:hAnsi="Calibri" w:cs="Calibri"/>
          <w:color w:val="000000" w:themeColor="text1"/>
          <w:lang w:eastAsia="en-GB"/>
        </w:rPr>
        <w:t>Local Government Aged and Disability Home Care Award</w:t>
      </w:r>
      <w:r w:rsidR="00150F70" w:rsidRPr="00BE6F3C">
        <w:rPr>
          <w:rFonts w:ascii="Calibri" w:eastAsia="Times New Roman" w:hAnsi="Calibri" w:cs="Calibri"/>
          <w:color w:val="000000" w:themeColor="text1"/>
          <w:lang w:eastAsia="en-GB"/>
        </w:rPr>
        <w:t xml:space="preserve">, or </w:t>
      </w:r>
      <w:r w:rsidR="009752FF" w:rsidRPr="0054591F">
        <w:rPr>
          <w:rFonts w:ascii="Calibri" w:eastAsia="Times New Roman" w:hAnsi="Calibri" w:cs="Calibri"/>
          <w:color w:val="000000" w:themeColor="text1"/>
          <w:lang w:eastAsia="en-GB"/>
        </w:rPr>
        <w:t>Nurses (Local Government) State Award</w:t>
      </w:r>
      <w:r w:rsidR="008727CB" w:rsidRPr="00BE6F3C">
        <w:rPr>
          <w:rFonts w:ascii="Calibri" w:eastAsia="Times New Roman" w:hAnsi="Calibri" w:cs="Calibri"/>
          <w:color w:val="000000" w:themeColor="text1"/>
          <w:lang w:eastAsia="en-GB"/>
        </w:rPr>
        <w:t xml:space="preserve">. </w:t>
      </w:r>
      <w:r w:rsidR="006E21F3" w:rsidRPr="00BE6F3C">
        <w:rPr>
          <w:rFonts w:ascii="Calibri" w:eastAsia="Times New Roman" w:hAnsi="Calibri" w:cs="Calibri"/>
          <w:color w:val="000000" w:themeColor="text1"/>
          <w:lang w:eastAsia="en-GB"/>
        </w:rPr>
        <w:t>Divestment</w:t>
      </w:r>
      <w:r w:rsidR="009752FF" w:rsidRPr="00BE6F3C">
        <w:rPr>
          <w:rFonts w:ascii="Calibri" w:eastAsia="Times New Roman" w:hAnsi="Calibri" w:cs="Calibri"/>
          <w:color w:val="000000" w:themeColor="text1"/>
          <w:lang w:eastAsia="en-GB"/>
        </w:rPr>
        <w:t xml:space="preserve"> from Kiama Council</w:t>
      </w:r>
      <w:r w:rsidR="006E21F3" w:rsidRPr="00BE6F3C">
        <w:rPr>
          <w:rFonts w:ascii="Calibri" w:eastAsia="Times New Roman" w:hAnsi="Calibri" w:cs="Calibri"/>
          <w:color w:val="000000" w:themeColor="text1"/>
          <w:lang w:eastAsia="en-GB"/>
        </w:rPr>
        <w:t xml:space="preserve"> to a new operator, and thus employer, would mean that </w:t>
      </w:r>
      <w:r w:rsidR="00BB2214" w:rsidRPr="00BE6F3C">
        <w:rPr>
          <w:rFonts w:ascii="Calibri" w:eastAsia="Times New Roman" w:hAnsi="Calibri" w:cs="Calibri"/>
          <w:color w:val="000000" w:themeColor="text1"/>
          <w:lang w:eastAsia="en-GB"/>
        </w:rPr>
        <w:t xml:space="preserve">employees would now fall under </w:t>
      </w:r>
      <w:r w:rsidR="000C2BEB">
        <w:rPr>
          <w:rFonts w:ascii="Calibri" w:eastAsia="Times New Roman" w:hAnsi="Calibri" w:cs="Calibri"/>
          <w:color w:val="000000" w:themeColor="text1"/>
          <w:lang w:eastAsia="en-GB"/>
        </w:rPr>
        <w:t xml:space="preserve">the federal Modern Award system, including </w:t>
      </w:r>
      <w:r w:rsidR="008E79EE" w:rsidRPr="00BE6F3C">
        <w:rPr>
          <w:rFonts w:ascii="Calibri" w:eastAsia="Times New Roman" w:hAnsi="Calibri" w:cs="Calibri"/>
          <w:color w:val="000000" w:themeColor="text1"/>
          <w:lang w:eastAsia="en-GB"/>
        </w:rPr>
        <w:t xml:space="preserve">the </w:t>
      </w:r>
      <w:r w:rsidR="008E79EE" w:rsidRPr="00BE6F3C">
        <w:rPr>
          <w:rFonts w:ascii="Calibri" w:hAnsi="Calibri" w:cs="Calibri"/>
          <w:color w:val="000000" w:themeColor="text1"/>
        </w:rPr>
        <w:t xml:space="preserve">Social, Community, Home Care and Disability Services Industry Award 2010, the Aged Care Award </w:t>
      </w:r>
      <w:r w:rsidR="00150F70" w:rsidRPr="00BE6F3C">
        <w:rPr>
          <w:rFonts w:ascii="Calibri" w:hAnsi="Calibri" w:cs="Calibri"/>
          <w:color w:val="000000" w:themeColor="text1"/>
        </w:rPr>
        <w:t xml:space="preserve">2010, </w:t>
      </w:r>
      <w:r w:rsidR="00BE6F3C" w:rsidRPr="00BE6F3C">
        <w:rPr>
          <w:rFonts w:ascii="Calibri" w:hAnsi="Calibri" w:cs="Calibri"/>
          <w:color w:val="000000" w:themeColor="text1"/>
        </w:rPr>
        <w:t>or Nurses Award 2020.</w:t>
      </w:r>
      <w:r w:rsidR="008E79EE" w:rsidRPr="00BE6F3C">
        <w:rPr>
          <w:rFonts w:ascii="Calibri" w:hAnsi="Calibri" w:cs="Calibri"/>
          <w:color w:val="000000" w:themeColor="text1"/>
        </w:rPr>
        <w:t xml:space="preserve"> </w:t>
      </w:r>
      <w:r w:rsidRPr="009752FF">
        <w:rPr>
          <w:rFonts w:cstheme="minorHAnsi"/>
        </w:rPr>
        <w:t xml:space="preserve"> </w:t>
      </w:r>
    </w:p>
    <w:p w14:paraId="29C32960" w14:textId="51BAC920" w:rsidR="00FD50EE" w:rsidRPr="009A6307" w:rsidRDefault="00EC5C7B" w:rsidP="00FD1261">
      <w:pPr>
        <w:spacing w:after="240"/>
        <w:jc w:val="both"/>
        <w:rPr>
          <w:rFonts w:ascii="Calibri" w:hAnsi="Calibri" w:cs="Calibri"/>
          <w:color w:val="000000" w:themeColor="text1"/>
        </w:rPr>
      </w:pPr>
      <w:r>
        <w:rPr>
          <w:rFonts w:cstheme="minorHAnsi"/>
        </w:rPr>
        <w:t>Approximately 50 Blue Haven</w:t>
      </w:r>
      <w:r w:rsidR="00853CFD">
        <w:rPr>
          <w:rFonts w:cstheme="minorHAnsi"/>
        </w:rPr>
        <w:t xml:space="preserve"> employees undertake h</w:t>
      </w:r>
      <w:r>
        <w:rPr>
          <w:rFonts w:cstheme="minorHAnsi"/>
        </w:rPr>
        <w:t xml:space="preserve">omecare </w:t>
      </w:r>
      <w:r w:rsidR="00853CFD">
        <w:rPr>
          <w:rFonts w:cstheme="minorHAnsi"/>
        </w:rPr>
        <w:t xml:space="preserve">services and are paid </w:t>
      </w:r>
      <w:r w:rsidR="00E5627D">
        <w:rPr>
          <w:rFonts w:cstheme="minorHAnsi"/>
        </w:rPr>
        <w:t xml:space="preserve">under the </w:t>
      </w:r>
      <w:r w:rsidR="00E5627D" w:rsidRPr="00BE6F3C">
        <w:rPr>
          <w:rFonts w:cstheme="minorHAnsi"/>
          <w:color w:val="000000" w:themeColor="text1"/>
        </w:rPr>
        <w:t>Local Government (State) Award</w:t>
      </w:r>
      <w:r w:rsidR="00796ACF">
        <w:rPr>
          <w:rFonts w:cstheme="minorHAnsi"/>
          <w:color w:val="000000" w:themeColor="text1"/>
        </w:rPr>
        <w:t xml:space="preserve"> between</w:t>
      </w:r>
      <w:r w:rsidR="00B070C6">
        <w:rPr>
          <w:rFonts w:cstheme="minorHAnsi"/>
          <w:color w:val="000000" w:themeColor="text1"/>
        </w:rPr>
        <w:t xml:space="preserve"> $965.30 </w:t>
      </w:r>
      <w:r w:rsidR="00F348C1">
        <w:rPr>
          <w:rFonts w:cstheme="minorHAnsi"/>
          <w:color w:val="000000" w:themeColor="text1"/>
        </w:rPr>
        <w:t xml:space="preserve">(Operational Band 1 Level 3) </w:t>
      </w:r>
      <w:r w:rsidR="00B070C6">
        <w:rPr>
          <w:rFonts w:cstheme="minorHAnsi"/>
          <w:color w:val="000000" w:themeColor="text1"/>
        </w:rPr>
        <w:t>to $1068.20</w:t>
      </w:r>
      <w:r w:rsidR="00D310DD">
        <w:rPr>
          <w:rFonts w:cstheme="minorHAnsi"/>
          <w:color w:val="000000" w:themeColor="text1"/>
        </w:rPr>
        <w:t xml:space="preserve"> (</w:t>
      </w:r>
      <w:r w:rsidR="00F348C1">
        <w:rPr>
          <w:rFonts w:cstheme="minorHAnsi"/>
          <w:color w:val="000000" w:themeColor="text1"/>
        </w:rPr>
        <w:t>Operational Band 1 Level 4) (Industrial Relations Commission of New South Wales 2021a)</w:t>
      </w:r>
      <w:r w:rsidR="00A2348F">
        <w:rPr>
          <w:rFonts w:cstheme="minorHAnsi"/>
          <w:color w:val="000000" w:themeColor="text1"/>
        </w:rPr>
        <w:t>.</w:t>
      </w:r>
      <w:r w:rsidR="00EC7468">
        <w:rPr>
          <w:rFonts w:cstheme="minorHAnsi"/>
          <w:color w:val="000000" w:themeColor="text1"/>
        </w:rPr>
        <w:t xml:space="preserve"> In the event Blue </w:t>
      </w:r>
      <w:r w:rsidR="0002146C">
        <w:rPr>
          <w:rFonts w:cstheme="minorHAnsi"/>
          <w:color w:val="000000" w:themeColor="text1"/>
        </w:rPr>
        <w:t>H</w:t>
      </w:r>
      <w:r w:rsidR="00EC7468">
        <w:rPr>
          <w:rFonts w:cstheme="minorHAnsi"/>
          <w:color w:val="000000" w:themeColor="text1"/>
        </w:rPr>
        <w:t xml:space="preserve">aven is divested these workers would now fall under the </w:t>
      </w:r>
      <w:r w:rsidR="00EC7468" w:rsidRPr="00BE6F3C">
        <w:rPr>
          <w:rFonts w:ascii="Calibri" w:hAnsi="Calibri" w:cs="Calibri"/>
          <w:color w:val="000000" w:themeColor="text1"/>
        </w:rPr>
        <w:t>Social, Community, Home Care and Disability Services Industry Award 2010</w:t>
      </w:r>
      <w:r w:rsidR="0002146C">
        <w:rPr>
          <w:rFonts w:ascii="Calibri" w:hAnsi="Calibri" w:cs="Calibri"/>
          <w:color w:val="000000" w:themeColor="text1"/>
        </w:rPr>
        <w:t xml:space="preserve">, </w:t>
      </w:r>
      <w:r w:rsidR="00DA5B7A">
        <w:rPr>
          <w:rFonts w:ascii="Calibri" w:hAnsi="Calibri" w:cs="Calibri"/>
          <w:color w:val="000000" w:themeColor="text1"/>
        </w:rPr>
        <w:t xml:space="preserve">where it is common for </w:t>
      </w:r>
      <w:r w:rsidR="0002146C">
        <w:rPr>
          <w:rFonts w:ascii="Calibri" w:hAnsi="Calibri" w:cs="Calibri"/>
          <w:color w:val="000000" w:themeColor="text1"/>
        </w:rPr>
        <w:t>homecare employee</w:t>
      </w:r>
      <w:r w:rsidR="00DA5B7A">
        <w:rPr>
          <w:rFonts w:ascii="Calibri" w:hAnsi="Calibri" w:cs="Calibri"/>
          <w:color w:val="000000" w:themeColor="text1"/>
        </w:rPr>
        <w:t>s to be earning</w:t>
      </w:r>
      <w:r w:rsidR="0002146C">
        <w:rPr>
          <w:rFonts w:ascii="Calibri" w:hAnsi="Calibri" w:cs="Calibri"/>
          <w:color w:val="000000" w:themeColor="text1"/>
        </w:rPr>
        <w:t xml:space="preserve"> $871.60</w:t>
      </w:r>
      <w:r w:rsidR="00DA5B7A">
        <w:rPr>
          <w:rFonts w:ascii="Calibri" w:hAnsi="Calibri" w:cs="Calibri"/>
          <w:color w:val="000000" w:themeColor="text1"/>
        </w:rPr>
        <w:t xml:space="preserve"> per week</w:t>
      </w:r>
      <w:r w:rsidR="00F348C1">
        <w:rPr>
          <w:rFonts w:ascii="Calibri" w:hAnsi="Calibri" w:cs="Calibri"/>
          <w:color w:val="000000" w:themeColor="text1"/>
        </w:rPr>
        <w:t xml:space="preserve"> (Fair Work Ombudsman 2023a)</w:t>
      </w:r>
      <w:r w:rsidR="00DA5B7A">
        <w:rPr>
          <w:rFonts w:ascii="Calibri" w:hAnsi="Calibri" w:cs="Calibri"/>
          <w:color w:val="000000" w:themeColor="text1"/>
        </w:rPr>
        <w:t>.</w:t>
      </w:r>
    </w:p>
    <w:p w14:paraId="3D054ABE" w14:textId="2A0AF614" w:rsidR="00FD50EE" w:rsidRPr="009A6307" w:rsidRDefault="002501A2" w:rsidP="00FD1261">
      <w:pPr>
        <w:spacing w:after="240"/>
        <w:jc w:val="both"/>
        <w:rPr>
          <w:rFonts w:eastAsia="Times New Roman" w:cstheme="minorHAnsi"/>
          <w:color w:val="000000" w:themeColor="text1"/>
          <w:lang w:eastAsia="en-GB"/>
        </w:rPr>
      </w:pPr>
      <w:r w:rsidRPr="00FD50EE">
        <w:rPr>
          <w:rFonts w:cstheme="minorHAnsi"/>
          <w:color w:val="000000" w:themeColor="text1"/>
        </w:rPr>
        <w:t>Aged Care Facility workers (approximately 170 employees)</w:t>
      </w:r>
      <w:r w:rsidR="0095730A" w:rsidRPr="00FD50EE">
        <w:rPr>
          <w:rFonts w:cstheme="minorHAnsi"/>
          <w:color w:val="000000" w:themeColor="text1"/>
        </w:rPr>
        <w:t xml:space="preserve"> </w:t>
      </w:r>
      <w:r w:rsidR="00F348C1">
        <w:rPr>
          <w:rFonts w:cstheme="minorHAnsi"/>
          <w:color w:val="000000" w:themeColor="text1"/>
        </w:rPr>
        <w:t xml:space="preserve">are covered by the </w:t>
      </w:r>
      <w:r w:rsidR="0095730A" w:rsidRPr="00FD50EE">
        <w:rPr>
          <w:rFonts w:eastAsia="Times New Roman" w:cstheme="minorHAnsi"/>
          <w:color w:val="000000" w:themeColor="text1"/>
          <w:lang w:eastAsia="en-GB"/>
        </w:rPr>
        <w:t>Local Government Aged and Disability Home Care Award</w:t>
      </w:r>
      <w:r w:rsidR="00917559" w:rsidRPr="00FD50EE">
        <w:rPr>
          <w:rFonts w:eastAsia="Times New Roman" w:cstheme="minorHAnsi"/>
          <w:color w:val="000000" w:themeColor="text1"/>
          <w:lang w:eastAsia="en-GB"/>
        </w:rPr>
        <w:t xml:space="preserve"> where care service employees receive </w:t>
      </w:r>
      <w:r w:rsidR="00854088" w:rsidRPr="00FD50EE">
        <w:rPr>
          <w:rFonts w:eastAsia="Times New Roman" w:cstheme="minorHAnsi"/>
          <w:color w:val="000000" w:themeColor="text1"/>
          <w:lang w:eastAsia="en-GB"/>
        </w:rPr>
        <w:t>between $</w:t>
      </w:r>
      <w:r w:rsidR="00912774" w:rsidRPr="00FD50EE">
        <w:rPr>
          <w:rFonts w:eastAsia="Times New Roman" w:cstheme="minorHAnsi"/>
          <w:color w:val="000000" w:themeColor="text1"/>
          <w:lang w:eastAsia="en-GB"/>
        </w:rPr>
        <w:t>875.66</w:t>
      </w:r>
      <w:r w:rsidR="00D34D7D" w:rsidRPr="00FD50EE">
        <w:rPr>
          <w:rFonts w:eastAsia="Times New Roman" w:cstheme="minorHAnsi"/>
          <w:color w:val="000000" w:themeColor="text1"/>
          <w:lang w:eastAsia="en-GB"/>
        </w:rPr>
        <w:t xml:space="preserve"> </w:t>
      </w:r>
      <w:r w:rsidR="008B0DF7" w:rsidRPr="00FD50EE">
        <w:rPr>
          <w:rFonts w:eastAsia="Times New Roman" w:cstheme="minorHAnsi"/>
          <w:color w:val="000000" w:themeColor="text1"/>
          <w:lang w:eastAsia="en-GB"/>
        </w:rPr>
        <w:t>(</w:t>
      </w:r>
      <w:r w:rsidR="00567E2D">
        <w:rPr>
          <w:rFonts w:eastAsia="Times New Roman" w:cstheme="minorHAnsi"/>
          <w:color w:val="000000" w:themeColor="text1"/>
          <w:lang w:eastAsia="en-GB"/>
        </w:rPr>
        <w:t>Care Service Employee G</w:t>
      </w:r>
      <w:r w:rsidR="008B0DF7" w:rsidRPr="00FD50EE">
        <w:rPr>
          <w:rFonts w:eastAsia="Times New Roman" w:cstheme="minorHAnsi"/>
          <w:color w:val="000000" w:themeColor="text1"/>
          <w:lang w:eastAsia="en-GB"/>
        </w:rPr>
        <w:t>rade 1) to $</w:t>
      </w:r>
      <w:r w:rsidR="00CD0C1E" w:rsidRPr="00FD50EE">
        <w:rPr>
          <w:rFonts w:eastAsia="Times New Roman" w:cstheme="minorHAnsi"/>
          <w:color w:val="000000" w:themeColor="text1"/>
          <w:lang w:eastAsia="en-GB"/>
        </w:rPr>
        <w:t>1,774.72</w:t>
      </w:r>
      <w:r w:rsidR="00CD0C1E" w:rsidRPr="00FD50EE" w:rsidDel="007771C2">
        <w:rPr>
          <w:rFonts w:eastAsia="Times New Roman" w:cstheme="minorHAnsi"/>
          <w:color w:val="000000" w:themeColor="text1"/>
          <w:lang w:eastAsia="en-GB"/>
        </w:rPr>
        <w:t xml:space="preserve"> </w:t>
      </w:r>
      <w:r w:rsidR="008B0DF7" w:rsidRPr="00FD50EE">
        <w:rPr>
          <w:rFonts w:eastAsia="Times New Roman" w:cstheme="minorHAnsi"/>
          <w:color w:val="000000" w:themeColor="text1"/>
          <w:lang w:eastAsia="en-GB"/>
        </w:rPr>
        <w:t>(</w:t>
      </w:r>
      <w:r w:rsidR="00567E2D">
        <w:rPr>
          <w:rFonts w:eastAsia="Times New Roman" w:cstheme="minorHAnsi"/>
          <w:color w:val="000000" w:themeColor="text1"/>
          <w:lang w:eastAsia="en-GB"/>
        </w:rPr>
        <w:t>Care Service Employee G</w:t>
      </w:r>
      <w:r w:rsidR="00567E2D" w:rsidRPr="00FD50EE">
        <w:rPr>
          <w:rFonts w:eastAsia="Times New Roman" w:cstheme="minorHAnsi"/>
          <w:color w:val="000000" w:themeColor="text1"/>
          <w:lang w:eastAsia="en-GB"/>
        </w:rPr>
        <w:t>rade 1</w:t>
      </w:r>
      <w:r w:rsidR="008B0DF7" w:rsidRPr="00FD50EE">
        <w:rPr>
          <w:rFonts w:eastAsia="Times New Roman" w:cstheme="minorHAnsi"/>
          <w:color w:val="000000" w:themeColor="text1"/>
          <w:lang w:eastAsia="en-GB"/>
        </w:rPr>
        <w:t xml:space="preserve"> </w:t>
      </w:r>
      <w:r w:rsidR="00567E2D">
        <w:rPr>
          <w:rFonts w:eastAsia="Times New Roman" w:cstheme="minorHAnsi"/>
          <w:color w:val="000000" w:themeColor="text1"/>
          <w:lang w:eastAsia="en-GB"/>
        </w:rPr>
        <w:t>G</w:t>
      </w:r>
      <w:r w:rsidR="008B0DF7" w:rsidRPr="00FD50EE">
        <w:rPr>
          <w:rFonts w:eastAsia="Times New Roman" w:cstheme="minorHAnsi"/>
          <w:color w:val="000000" w:themeColor="text1"/>
          <w:lang w:eastAsia="en-GB"/>
        </w:rPr>
        <w:t>rade 5)</w:t>
      </w:r>
      <w:r w:rsidR="00F348C1">
        <w:rPr>
          <w:rFonts w:eastAsia="Times New Roman" w:cstheme="minorHAnsi"/>
          <w:color w:val="000000" w:themeColor="text1"/>
          <w:lang w:eastAsia="en-GB"/>
        </w:rPr>
        <w:t xml:space="preserve"> </w:t>
      </w:r>
      <w:r w:rsidR="00F348C1">
        <w:rPr>
          <w:rFonts w:cstheme="minorHAnsi"/>
          <w:color w:val="000000" w:themeColor="text1"/>
        </w:rPr>
        <w:t>(Industrial Relations Commission of New South Wales 2021b)</w:t>
      </w:r>
      <w:r w:rsidR="008B0DF7" w:rsidRPr="00FD50EE">
        <w:rPr>
          <w:rFonts w:eastAsia="Times New Roman" w:cstheme="minorHAnsi"/>
          <w:color w:val="000000" w:themeColor="text1"/>
          <w:lang w:eastAsia="en-GB"/>
        </w:rPr>
        <w:t xml:space="preserve">. </w:t>
      </w:r>
      <w:r w:rsidR="00AC43C5" w:rsidRPr="00FD50EE">
        <w:rPr>
          <w:rFonts w:eastAsia="Times New Roman" w:cstheme="minorHAnsi"/>
          <w:color w:val="000000" w:themeColor="text1"/>
          <w:lang w:eastAsia="en-GB"/>
        </w:rPr>
        <w:t>Following divestment th</w:t>
      </w:r>
      <w:r w:rsidR="008B0DF7" w:rsidRPr="00FD50EE">
        <w:rPr>
          <w:rFonts w:eastAsia="Times New Roman" w:cstheme="minorHAnsi"/>
          <w:color w:val="000000" w:themeColor="text1"/>
          <w:lang w:eastAsia="en-GB"/>
        </w:rPr>
        <w:t xml:space="preserve">ese workers would </w:t>
      </w:r>
      <w:r w:rsidR="00AC43C5" w:rsidRPr="00FD50EE">
        <w:rPr>
          <w:rFonts w:eastAsia="Times New Roman" w:cstheme="minorHAnsi"/>
          <w:color w:val="000000" w:themeColor="text1"/>
          <w:lang w:eastAsia="en-GB"/>
        </w:rPr>
        <w:t xml:space="preserve">be paid </w:t>
      </w:r>
      <w:r w:rsidR="002E0521" w:rsidRPr="00FD50EE">
        <w:rPr>
          <w:rFonts w:eastAsia="Times New Roman" w:cstheme="minorHAnsi"/>
          <w:color w:val="000000" w:themeColor="text1"/>
          <w:lang w:eastAsia="en-GB"/>
        </w:rPr>
        <w:t xml:space="preserve">under the Aged Care Award 2010 between </w:t>
      </w:r>
      <w:r w:rsidR="00B51C0A" w:rsidRPr="00FD50EE">
        <w:rPr>
          <w:rFonts w:eastAsia="Times New Roman" w:cstheme="minorHAnsi"/>
          <w:color w:val="000000" w:themeColor="text1"/>
          <w:lang w:eastAsia="en-GB"/>
        </w:rPr>
        <w:t>$861.</w:t>
      </w:r>
      <w:r w:rsidR="00735AD5" w:rsidRPr="00FD50EE">
        <w:rPr>
          <w:rFonts w:eastAsia="Times New Roman" w:cstheme="minorHAnsi"/>
          <w:color w:val="000000" w:themeColor="text1"/>
          <w:lang w:eastAsia="en-GB"/>
        </w:rPr>
        <w:t xml:space="preserve">40 </w:t>
      </w:r>
      <w:r w:rsidR="00735AD5" w:rsidRPr="00FD50EE">
        <w:rPr>
          <w:rFonts w:eastAsia="Times New Roman" w:cstheme="minorHAnsi"/>
          <w:color w:val="000000" w:themeColor="text1"/>
          <w:lang w:eastAsia="en-GB"/>
        </w:rPr>
        <w:lastRenderedPageBreak/>
        <w:t>(</w:t>
      </w:r>
      <w:r w:rsidR="00567E2D">
        <w:rPr>
          <w:rFonts w:eastAsia="Times New Roman" w:cstheme="minorHAnsi"/>
          <w:color w:val="000000" w:themeColor="text1"/>
          <w:lang w:eastAsia="en-GB"/>
        </w:rPr>
        <w:t>Aged Care Employee L</w:t>
      </w:r>
      <w:r w:rsidR="00735AD5" w:rsidRPr="00FD50EE">
        <w:rPr>
          <w:rFonts w:eastAsia="Times New Roman" w:cstheme="minorHAnsi"/>
          <w:color w:val="000000" w:themeColor="text1"/>
          <w:lang w:eastAsia="en-GB"/>
        </w:rPr>
        <w:t>evel 1) to $1043.</w:t>
      </w:r>
      <w:r w:rsidR="00173A1D" w:rsidRPr="00FD50EE">
        <w:rPr>
          <w:rFonts w:eastAsia="Times New Roman" w:cstheme="minorHAnsi"/>
          <w:color w:val="000000" w:themeColor="text1"/>
          <w:lang w:eastAsia="en-GB"/>
        </w:rPr>
        <w:t>60 (</w:t>
      </w:r>
      <w:r w:rsidR="00567E2D">
        <w:rPr>
          <w:rFonts w:eastAsia="Times New Roman" w:cstheme="minorHAnsi"/>
          <w:color w:val="000000" w:themeColor="text1"/>
          <w:lang w:eastAsia="en-GB"/>
        </w:rPr>
        <w:t>Aged Care Employee L</w:t>
      </w:r>
      <w:r w:rsidR="00567E2D" w:rsidRPr="00FD50EE">
        <w:rPr>
          <w:rFonts w:eastAsia="Times New Roman" w:cstheme="minorHAnsi"/>
          <w:color w:val="000000" w:themeColor="text1"/>
          <w:lang w:eastAsia="en-GB"/>
        </w:rPr>
        <w:t>evel</w:t>
      </w:r>
      <w:r w:rsidR="00173A1D" w:rsidRPr="00FD50EE">
        <w:rPr>
          <w:rFonts w:eastAsia="Times New Roman" w:cstheme="minorHAnsi"/>
          <w:color w:val="000000" w:themeColor="text1"/>
          <w:lang w:eastAsia="en-GB"/>
        </w:rPr>
        <w:t xml:space="preserve"> 7)</w:t>
      </w:r>
      <w:r w:rsidR="002B065D">
        <w:rPr>
          <w:rFonts w:eastAsia="Times New Roman" w:cstheme="minorHAnsi"/>
          <w:color w:val="000000" w:themeColor="text1"/>
          <w:lang w:eastAsia="en-GB"/>
        </w:rPr>
        <w:t xml:space="preserve"> (Fair Work Ombudsman 2023b)</w:t>
      </w:r>
      <w:r w:rsidR="00FD50EE" w:rsidRPr="00FD50EE">
        <w:rPr>
          <w:rFonts w:eastAsia="Times New Roman" w:cstheme="minorHAnsi"/>
          <w:color w:val="000000" w:themeColor="text1"/>
          <w:lang w:eastAsia="en-GB"/>
        </w:rPr>
        <w:t>.</w:t>
      </w:r>
    </w:p>
    <w:p w14:paraId="21DB2E53" w14:textId="018F214E" w:rsidR="00FD50EE" w:rsidRPr="009A6307" w:rsidRDefault="008D3392" w:rsidP="00FD1261">
      <w:pPr>
        <w:spacing w:after="240"/>
        <w:jc w:val="both"/>
        <w:rPr>
          <w:rFonts w:eastAsia="Times New Roman" w:cstheme="minorHAnsi"/>
          <w:color w:val="000000" w:themeColor="text1"/>
          <w:lang w:eastAsia="en-GB"/>
        </w:rPr>
      </w:pPr>
      <w:r w:rsidRPr="00C23E12">
        <w:rPr>
          <w:rFonts w:cstheme="minorHAnsi"/>
          <w:color w:val="000000" w:themeColor="text1"/>
        </w:rPr>
        <w:t>Facility Admin</w:t>
      </w:r>
      <w:r w:rsidR="00BB59D8" w:rsidRPr="00C23E12">
        <w:rPr>
          <w:rFonts w:cstheme="minorHAnsi"/>
          <w:color w:val="000000" w:themeColor="text1"/>
        </w:rPr>
        <w:t>i</w:t>
      </w:r>
      <w:r w:rsidRPr="00C23E12">
        <w:rPr>
          <w:rFonts w:cstheme="minorHAnsi"/>
          <w:color w:val="000000" w:themeColor="text1"/>
        </w:rPr>
        <w:t xml:space="preserve">strative </w:t>
      </w:r>
      <w:r w:rsidR="00364822" w:rsidRPr="00C23E12">
        <w:rPr>
          <w:rFonts w:cstheme="minorHAnsi"/>
          <w:color w:val="000000" w:themeColor="text1"/>
        </w:rPr>
        <w:t xml:space="preserve">staff </w:t>
      </w:r>
      <w:r w:rsidR="00E26279" w:rsidRPr="00C23E12">
        <w:rPr>
          <w:rFonts w:cstheme="minorHAnsi"/>
          <w:color w:val="000000" w:themeColor="text1"/>
        </w:rPr>
        <w:t xml:space="preserve">(approximately 10 employees) </w:t>
      </w:r>
      <w:r w:rsidR="002B065D">
        <w:rPr>
          <w:rFonts w:cstheme="minorHAnsi"/>
          <w:color w:val="000000" w:themeColor="text1"/>
        </w:rPr>
        <w:t>are</w:t>
      </w:r>
      <w:r w:rsidR="00262E5C" w:rsidRPr="00C23E12">
        <w:rPr>
          <w:rFonts w:eastAsia="Times New Roman" w:cstheme="minorHAnsi"/>
          <w:color w:val="000000" w:themeColor="text1"/>
          <w:lang w:eastAsia="en-GB"/>
        </w:rPr>
        <w:t xml:space="preserve"> </w:t>
      </w:r>
      <w:r w:rsidR="00364822" w:rsidRPr="00C23E12">
        <w:rPr>
          <w:rFonts w:cstheme="minorHAnsi"/>
          <w:color w:val="000000" w:themeColor="text1"/>
        </w:rPr>
        <w:t xml:space="preserve">currently covered by the </w:t>
      </w:r>
      <w:r w:rsidR="00E26279" w:rsidRPr="0054591F">
        <w:rPr>
          <w:rFonts w:eastAsia="Times New Roman" w:cstheme="minorHAnsi"/>
          <w:color w:val="000000" w:themeColor="text1"/>
          <w:lang w:eastAsia="en-GB"/>
        </w:rPr>
        <w:t>Local Government (State) Award</w:t>
      </w:r>
      <w:r w:rsidR="00E26279" w:rsidRPr="00C23E12">
        <w:rPr>
          <w:rFonts w:eastAsia="Times New Roman" w:cstheme="minorHAnsi"/>
          <w:color w:val="000000" w:themeColor="text1"/>
          <w:lang w:eastAsia="en-GB"/>
        </w:rPr>
        <w:t xml:space="preserve"> and paid $1056.40 per week (</w:t>
      </w:r>
      <w:r w:rsidR="00DD573B">
        <w:rPr>
          <w:rFonts w:eastAsia="Times New Roman" w:cstheme="minorHAnsi"/>
          <w:color w:val="000000" w:themeColor="text1"/>
          <w:lang w:eastAsia="en-GB"/>
        </w:rPr>
        <w:t xml:space="preserve">Administrative </w:t>
      </w:r>
      <w:r w:rsidR="00E26279" w:rsidRPr="00C23E12">
        <w:rPr>
          <w:rFonts w:eastAsia="Times New Roman" w:cstheme="minorHAnsi"/>
          <w:color w:val="000000" w:themeColor="text1"/>
          <w:lang w:eastAsia="en-GB"/>
        </w:rPr>
        <w:t xml:space="preserve">Band 2 </w:t>
      </w:r>
      <w:r w:rsidR="00DD573B">
        <w:rPr>
          <w:rFonts w:eastAsia="Times New Roman" w:cstheme="minorHAnsi"/>
          <w:color w:val="000000" w:themeColor="text1"/>
          <w:lang w:eastAsia="en-GB"/>
        </w:rPr>
        <w:t>L</w:t>
      </w:r>
      <w:r w:rsidR="00E26279" w:rsidRPr="00C23E12">
        <w:rPr>
          <w:rFonts w:eastAsia="Times New Roman" w:cstheme="minorHAnsi"/>
          <w:color w:val="000000" w:themeColor="text1"/>
          <w:lang w:eastAsia="en-GB"/>
        </w:rPr>
        <w:t>evel 1)</w:t>
      </w:r>
      <w:r w:rsidR="002B065D">
        <w:rPr>
          <w:rFonts w:eastAsia="Times New Roman" w:cstheme="minorHAnsi"/>
          <w:color w:val="000000" w:themeColor="text1"/>
          <w:lang w:eastAsia="en-GB"/>
        </w:rPr>
        <w:t xml:space="preserve"> (</w:t>
      </w:r>
      <w:r w:rsidR="002B065D">
        <w:rPr>
          <w:rFonts w:cstheme="minorHAnsi"/>
          <w:color w:val="000000" w:themeColor="text1"/>
        </w:rPr>
        <w:t>Industrial Relations Commission of New South Wales 2021a)</w:t>
      </w:r>
      <w:r w:rsidR="00DC7400" w:rsidRPr="00C23E12">
        <w:rPr>
          <w:rFonts w:eastAsia="Times New Roman" w:cstheme="minorHAnsi"/>
          <w:color w:val="000000" w:themeColor="text1"/>
          <w:lang w:eastAsia="en-GB"/>
        </w:rPr>
        <w:t xml:space="preserve">. Divestment would imply coverage from the </w:t>
      </w:r>
      <w:r w:rsidR="00BF72B9" w:rsidRPr="00C23E12">
        <w:rPr>
          <w:rFonts w:cstheme="minorHAnsi"/>
          <w:color w:val="000000" w:themeColor="text1"/>
        </w:rPr>
        <w:t xml:space="preserve">Aged Care Award 2010 where </w:t>
      </w:r>
      <w:r w:rsidR="00DE0D6C" w:rsidRPr="00C23E12">
        <w:rPr>
          <w:rFonts w:cstheme="minorHAnsi"/>
          <w:color w:val="000000" w:themeColor="text1"/>
        </w:rPr>
        <w:t xml:space="preserve">they would receive between $929.90 for </w:t>
      </w:r>
      <w:r w:rsidR="00E542DE" w:rsidRPr="00C23E12">
        <w:rPr>
          <w:rFonts w:cstheme="minorHAnsi"/>
          <w:color w:val="000000" w:themeColor="text1"/>
        </w:rPr>
        <w:t>a</w:t>
      </w:r>
      <w:r w:rsidR="00397C48" w:rsidRPr="00C23E12">
        <w:rPr>
          <w:rFonts w:cstheme="minorHAnsi"/>
          <w:color w:val="000000" w:themeColor="text1"/>
        </w:rPr>
        <w:t xml:space="preserve"> general clerk with at least 1 </w:t>
      </w:r>
      <w:proofErr w:type="spellStart"/>
      <w:r w:rsidR="00397C48" w:rsidRPr="00C23E12">
        <w:rPr>
          <w:rFonts w:cstheme="minorHAnsi"/>
          <w:color w:val="000000" w:themeColor="text1"/>
        </w:rPr>
        <w:t>year’s experience</w:t>
      </w:r>
      <w:proofErr w:type="spellEnd"/>
      <w:r w:rsidR="00397C48" w:rsidRPr="00C23E12">
        <w:rPr>
          <w:rFonts w:cstheme="minorHAnsi"/>
          <w:color w:val="000000" w:themeColor="text1"/>
        </w:rPr>
        <w:t xml:space="preserve"> to </w:t>
      </w:r>
      <w:r w:rsidR="00BB59D8" w:rsidRPr="00C23E12">
        <w:rPr>
          <w:rFonts w:cstheme="minorHAnsi"/>
          <w:color w:val="000000" w:themeColor="text1"/>
        </w:rPr>
        <w:t>$940.90 for a senior clerk</w:t>
      </w:r>
      <w:r w:rsidR="002B065D">
        <w:rPr>
          <w:rFonts w:cstheme="minorHAnsi"/>
          <w:color w:val="000000" w:themeColor="text1"/>
        </w:rPr>
        <w:t xml:space="preserve"> </w:t>
      </w:r>
      <w:r w:rsidR="002B065D">
        <w:rPr>
          <w:rFonts w:eastAsia="Times New Roman" w:cstheme="minorHAnsi"/>
          <w:color w:val="000000" w:themeColor="text1"/>
          <w:lang w:eastAsia="en-GB"/>
        </w:rPr>
        <w:t>(Fair Work Ombudsman 2023b)</w:t>
      </w:r>
      <w:r w:rsidR="00BB59D8" w:rsidRPr="00C23E12">
        <w:rPr>
          <w:rFonts w:cstheme="minorHAnsi"/>
          <w:color w:val="000000" w:themeColor="text1"/>
        </w:rPr>
        <w:t>.</w:t>
      </w:r>
    </w:p>
    <w:p w14:paraId="7152033F" w14:textId="6AFD5E1D" w:rsidR="00FD50EE" w:rsidRPr="009A6307" w:rsidRDefault="00BB59D8" w:rsidP="00FD1261">
      <w:pPr>
        <w:spacing w:after="240"/>
        <w:jc w:val="both"/>
        <w:rPr>
          <w:rFonts w:eastAsia="Times New Roman" w:cstheme="minorHAnsi"/>
          <w:color w:val="000000" w:themeColor="text1"/>
          <w:lang w:eastAsia="en-GB"/>
        </w:rPr>
      </w:pPr>
      <w:r w:rsidRPr="00C23E12">
        <w:rPr>
          <w:rFonts w:cstheme="minorHAnsi"/>
          <w:color w:val="000000" w:themeColor="text1"/>
        </w:rPr>
        <w:t>Community Workers (approximately 20</w:t>
      </w:r>
      <w:r w:rsidR="00F50626" w:rsidRPr="00C23E12">
        <w:rPr>
          <w:rFonts w:cstheme="minorHAnsi"/>
          <w:color w:val="000000" w:themeColor="text1"/>
        </w:rPr>
        <w:t>)</w:t>
      </w:r>
      <w:r w:rsidRPr="00C23E12">
        <w:rPr>
          <w:rFonts w:cstheme="minorHAnsi"/>
          <w:color w:val="000000" w:themeColor="text1"/>
        </w:rPr>
        <w:t xml:space="preserve"> </w:t>
      </w:r>
      <w:r w:rsidR="00262E5C" w:rsidRPr="00C23E12">
        <w:rPr>
          <w:rFonts w:cstheme="minorHAnsi"/>
          <w:color w:val="000000" w:themeColor="text1"/>
        </w:rPr>
        <w:t xml:space="preserve">include </w:t>
      </w:r>
      <w:r w:rsidR="009C2E06" w:rsidRPr="0054591F">
        <w:rPr>
          <w:rFonts w:eastAsia="Times New Roman" w:cstheme="minorHAnsi"/>
          <w:color w:val="000000" w:themeColor="text1"/>
          <w:lang w:eastAsia="en-GB"/>
        </w:rPr>
        <w:t>clerical staff that manage the home care employees with matters such as rostering as well as managing the services support funding allocations for clients</w:t>
      </w:r>
      <w:r w:rsidR="00262E5C" w:rsidRPr="00C23E12">
        <w:rPr>
          <w:rFonts w:eastAsia="Times New Roman" w:cstheme="minorHAnsi"/>
          <w:color w:val="000000" w:themeColor="text1"/>
          <w:lang w:eastAsia="en-GB"/>
        </w:rPr>
        <w:t xml:space="preserve">, and </w:t>
      </w:r>
      <w:r w:rsidR="009C2E06" w:rsidRPr="0054591F">
        <w:rPr>
          <w:rFonts w:eastAsia="Times New Roman" w:cstheme="minorHAnsi"/>
          <w:color w:val="000000" w:themeColor="text1"/>
          <w:lang w:eastAsia="en-GB"/>
        </w:rPr>
        <w:t>community transport services</w:t>
      </w:r>
      <w:r w:rsidR="00262E5C" w:rsidRPr="00C23E12">
        <w:rPr>
          <w:rFonts w:eastAsia="Times New Roman" w:cstheme="minorHAnsi"/>
          <w:color w:val="000000" w:themeColor="text1"/>
          <w:lang w:eastAsia="en-GB"/>
        </w:rPr>
        <w:t xml:space="preserve">. </w:t>
      </w:r>
      <w:r w:rsidR="00262E5C" w:rsidRPr="00C23E12">
        <w:rPr>
          <w:rFonts w:cstheme="minorHAnsi"/>
          <w:color w:val="000000" w:themeColor="text1"/>
        </w:rPr>
        <w:t xml:space="preserve">They are </w:t>
      </w:r>
      <w:r w:rsidR="00615831" w:rsidRPr="00C23E12">
        <w:rPr>
          <w:rFonts w:cstheme="minorHAnsi"/>
          <w:color w:val="000000" w:themeColor="text1"/>
        </w:rPr>
        <w:t>paid between $1211.50 (</w:t>
      </w:r>
      <w:r w:rsidR="00DD573B">
        <w:rPr>
          <w:rFonts w:cstheme="minorHAnsi"/>
          <w:color w:val="000000" w:themeColor="text1"/>
        </w:rPr>
        <w:t>Administrative B</w:t>
      </w:r>
      <w:r w:rsidR="00615831" w:rsidRPr="00C23E12">
        <w:rPr>
          <w:rFonts w:cstheme="minorHAnsi"/>
          <w:color w:val="000000" w:themeColor="text1"/>
        </w:rPr>
        <w:t xml:space="preserve">and 2 </w:t>
      </w:r>
      <w:r w:rsidR="00DD573B">
        <w:rPr>
          <w:rFonts w:cstheme="minorHAnsi"/>
          <w:color w:val="000000" w:themeColor="text1"/>
        </w:rPr>
        <w:t>L</w:t>
      </w:r>
      <w:r w:rsidR="00615831" w:rsidRPr="00C23E12">
        <w:rPr>
          <w:rFonts w:cstheme="minorHAnsi"/>
          <w:color w:val="000000" w:themeColor="text1"/>
        </w:rPr>
        <w:t xml:space="preserve">evel 2) and </w:t>
      </w:r>
      <w:r w:rsidR="00D43A6E" w:rsidRPr="00C23E12">
        <w:rPr>
          <w:rFonts w:cstheme="minorHAnsi"/>
          <w:color w:val="000000" w:themeColor="text1"/>
        </w:rPr>
        <w:t>$1449.90 (</w:t>
      </w:r>
      <w:r w:rsidR="000F1983">
        <w:rPr>
          <w:rFonts w:cstheme="minorHAnsi"/>
          <w:color w:val="000000" w:themeColor="text1"/>
        </w:rPr>
        <w:t>Administrative B</w:t>
      </w:r>
      <w:r w:rsidR="000F1983" w:rsidRPr="00C23E12">
        <w:rPr>
          <w:rFonts w:cstheme="minorHAnsi"/>
          <w:color w:val="000000" w:themeColor="text1"/>
        </w:rPr>
        <w:t xml:space="preserve">and 2 </w:t>
      </w:r>
      <w:r w:rsidR="000F1983">
        <w:rPr>
          <w:rFonts w:cstheme="minorHAnsi"/>
          <w:color w:val="000000" w:themeColor="text1"/>
        </w:rPr>
        <w:t>L</w:t>
      </w:r>
      <w:r w:rsidR="00D43A6E" w:rsidRPr="00C23E12">
        <w:rPr>
          <w:rFonts w:cstheme="minorHAnsi"/>
          <w:color w:val="000000" w:themeColor="text1"/>
        </w:rPr>
        <w:t>evel 3)</w:t>
      </w:r>
      <w:r w:rsidR="00DD573B">
        <w:rPr>
          <w:rFonts w:cstheme="minorHAnsi"/>
          <w:color w:val="000000" w:themeColor="text1"/>
        </w:rPr>
        <w:t xml:space="preserve"> under the </w:t>
      </w:r>
      <w:r w:rsidR="00DD573B" w:rsidRPr="00BE6F3C">
        <w:rPr>
          <w:rFonts w:cstheme="minorHAnsi"/>
          <w:color w:val="000000" w:themeColor="text1"/>
        </w:rPr>
        <w:t>Local Government (State) Award</w:t>
      </w:r>
      <w:r w:rsidR="00DD573B">
        <w:rPr>
          <w:rFonts w:cstheme="minorHAnsi"/>
          <w:color w:val="000000" w:themeColor="text1"/>
        </w:rPr>
        <w:t xml:space="preserve"> </w:t>
      </w:r>
      <w:r w:rsidR="00DD573B">
        <w:rPr>
          <w:rFonts w:eastAsia="Times New Roman" w:cstheme="minorHAnsi"/>
          <w:color w:val="000000" w:themeColor="text1"/>
          <w:lang w:eastAsia="en-GB"/>
        </w:rPr>
        <w:t>(</w:t>
      </w:r>
      <w:r w:rsidR="00DD573B">
        <w:rPr>
          <w:rFonts w:cstheme="minorHAnsi"/>
          <w:color w:val="000000" w:themeColor="text1"/>
        </w:rPr>
        <w:t>Industrial Relations Commission of New South Wales 2021a)</w:t>
      </w:r>
      <w:r w:rsidR="00D43A6E" w:rsidRPr="00C23E12">
        <w:rPr>
          <w:rFonts w:cstheme="minorHAnsi"/>
          <w:color w:val="000000" w:themeColor="text1"/>
        </w:rPr>
        <w:t xml:space="preserve">. </w:t>
      </w:r>
      <w:r w:rsidR="00F33E35" w:rsidRPr="00C23E12">
        <w:rPr>
          <w:rFonts w:cstheme="minorHAnsi"/>
          <w:color w:val="000000" w:themeColor="text1"/>
        </w:rPr>
        <w:t xml:space="preserve">Under the Social, </w:t>
      </w:r>
      <w:r w:rsidR="00F33E35" w:rsidRPr="009A6307">
        <w:rPr>
          <w:rFonts w:cstheme="minorHAnsi"/>
          <w:color w:val="000000" w:themeColor="text1"/>
        </w:rPr>
        <w:t xml:space="preserve">Community, Home Care and Disability Services Industry Award 2010 they would be paid </w:t>
      </w:r>
      <w:r w:rsidR="00F66118" w:rsidRPr="009A6307">
        <w:rPr>
          <w:rFonts w:cstheme="minorHAnsi"/>
          <w:color w:val="000000" w:themeColor="text1"/>
        </w:rPr>
        <w:t>$940.90</w:t>
      </w:r>
      <w:r w:rsidR="00C90A81" w:rsidRPr="009A6307">
        <w:rPr>
          <w:rFonts w:cstheme="minorHAnsi"/>
          <w:color w:val="000000" w:themeColor="text1"/>
        </w:rPr>
        <w:t xml:space="preserve"> </w:t>
      </w:r>
      <w:r w:rsidR="00C23E12" w:rsidRPr="009A6307">
        <w:rPr>
          <w:rFonts w:cstheme="minorHAnsi"/>
          <w:color w:val="000000" w:themeColor="text1"/>
        </w:rPr>
        <w:t xml:space="preserve">to </w:t>
      </w:r>
      <w:r w:rsidR="00FD50EE" w:rsidRPr="009A6307">
        <w:rPr>
          <w:rFonts w:cstheme="minorHAnsi"/>
          <w:color w:val="000000" w:themeColor="text1"/>
        </w:rPr>
        <w:t>$</w:t>
      </w:r>
      <w:r w:rsidR="00FD50EE" w:rsidRPr="009A6307">
        <w:rPr>
          <w:rFonts w:cstheme="minorHAnsi"/>
          <w:color w:val="393E45"/>
          <w:shd w:val="clear" w:color="auto" w:fill="FFFFFF"/>
        </w:rPr>
        <w:t>1026.60</w:t>
      </w:r>
      <w:r w:rsidR="000F1983" w:rsidRPr="009A6307">
        <w:rPr>
          <w:rFonts w:cstheme="minorHAnsi"/>
          <w:color w:val="393E45"/>
          <w:shd w:val="clear" w:color="auto" w:fill="FFFFFF"/>
        </w:rPr>
        <w:t xml:space="preserve"> (</w:t>
      </w:r>
      <w:r w:rsidR="000F1983" w:rsidRPr="009A6307">
        <w:rPr>
          <w:rFonts w:cstheme="minorHAnsi"/>
          <w:color w:val="232323"/>
        </w:rPr>
        <w:t>Social and community services employee level 2) (</w:t>
      </w:r>
      <w:r w:rsidR="000F1983" w:rsidRPr="009A6307">
        <w:rPr>
          <w:rFonts w:eastAsia="Times New Roman" w:cstheme="minorHAnsi"/>
          <w:color w:val="000000" w:themeColor="text1"/>
          <w:lang w:eastAsia="en-GB"/>
        </w:rPr>
        <w:t>Fair Work Ombudsman 2023b)</w:t>
      </w:r>
      <w:r w:rsidR="000F1983" w:rsidRPr="009A6307">
        <w:rPr>
          <w:rFonts w:cstheme="minorHAnsi"/>
          <w:color w:val="232323"/>
        </w:rPr>
        <w:t>.</w:t>
      </w:r>
    </w:p>
    <w:p w14:paraId="677AC85A" w14:textId="4C8B24B1" w:rsidR="0003683B" w:rsidRPr="003054DA" w:rsidRDefault="007F66B4" w:rsidP="00FD1261">
      <w:pPr>
        <w:spacing w:after="240"/>
        <w:jc w:val="both"/>
        <w:rPr>
          <w:rFonts w:eastAsia="Times New Roman" w:cstheme="minorHAnsi"/>
          <w:color w:val="000000" w:themeColor="text1"/>
          <w:lang w:eastAsia="en-GB"/>
        </w:rPr>
      </w:pPr>
      <w:r>
        <w:rPr>
          <w:rFonts w:eastAsia="Times New Roman" w:cstheme="minorHAnsi"/>
          <w:color w:val="000000" w:themeColor="text1"/>
          <w:lang w:eastAsia="en-GB"/>
        </w:rPr>
        <w:t xml:space="preserve">The reclassification of employees </w:t>
      </w:r>
      <w:r w:rsidR="00C47777">
        <w:rPr>
          <w:rFonts w:eastAsia="Times New Roman" w:cstheme="minorHAnsi"/>
          <w:color w:val="000000" w:themeColor="text1"/>
          <w:lang w:eastAsia="en-GB"/>
        </w:rPr>
        <w:t>undertaking i</w:t>
      </w:r>
      <w:r w:rsidR="004D7F3C">
        <w:rPr>
          <w:rFonts w:eastAsia="Times New Roman" w:cstheme="minorHAnsi"/>
          <w:color w:val="000000" w:themeColor="text1"/>
          <w:lang w:eastAsia="en-GB"/>
        </w:rPr>
        <w:t>ndistinguishable duties</w:t>
      </w:r>
      <w:r w:rsidR="00C47777">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to alternative and lower pay rates </w:t>
      </w:r>
      <w:r w:rsidR="004D7F3C">
        <w:rPr>
          <w:rFonts w:eastAsia="Times New Roman" w:cstheme="minorHAnsi"/>
          <w:color w:val="000000" w:themeColor="text1"/>
          <w:lang w:eastAsia="en-GB"/>
        </w:rPr>
        <w:t xml:space="preserve">first </w:t>
      </w:r>
      <w:r w:rsidR="00C47777">
        <w:rPr>
          <w:rFonts w:eastAsia="Times New Roman" w:cstheme="minorHAnsi"/>
          <w:color w:val="000000" w:themeColor="text1"/>
          <w:lang w:eastAsia="en-GB"/>
        </w:rPr>
        <w:t xml:space="preserve">raises </w:t>
      </w:r>
      <w:r w:rsidR="004D7F3C">
        <w:rPr>
          <w:rFonts w:eastAsia="Times New Roman" w:cstheme="minorHAnsi"/>
          <w:color w:val="000000" w:themeColor="text1"/>
          <w:lang w:eastAsia="en-GB"/>
        </w:rPr>
        <w:t xml:space="preserve">ethical and </w:t>
      </w:r>
      <w:r w:rsidR="00C47777">
        <w:rPr>
          <w:rFonts w:eastAsia="Times New Roman" w:cstheme="minorHAnsi"/>
          <w:color w:val="000000" w:themeColor="text1"/>
          <w:lang w:eastAsia="en-GB"/>
        </w:rPr>
        <w:t>equity issues</w:t>
      </w:r>
      <w:r w:rsidR="004D7F3C">
        <w:rPr>
          <w:rFonts w:eastAsia="Times New Roman" w:cstheme="minorHAnsi"/>
          <w:color w:val="000000" w:themeColor="text1"/>
          <w:lang w:eastAsia="en-GB"/>
        </w:rPr>
        <w:t xml:space="preserve">. </w:t>
      </w:r>
      <w:r w:rsidR="00E8085D">
        <w:rPr>
          <w:rFonts w:eastAsia="Times New Roman" w:cstheme="minorHAnsi"/>
          <w:color w:val="000000" w:themeColor="text1"/>
          <w:lang w:eastAsia="en-GB"/>
        </w:rPr>
        <w:t>Some workers will be performing identical duties and be remunerated at a lower rate.</w:t>
      </w:r>
      <w:r w:rsidR="009A6307">
        <w:rPr>
          <w:rFonts w:eastAsia="Times New Roman" w:cstheme="minorHAnsi"/>
          <w:color w:val="000000" w:themeColor="text1"/>
          <w:lang w:eastAsia="en-GB"/>
        </w:rPr>
        <w:t xml:space="preserve"> </w:t>
      </w:r>
      <w:r w:rsidR="00675683">
        <w:rPr>
          <w:rFonts w:eastAsia="Times New Roman" w:cstheme="minorHAnsi"/>
          <w:color w:val="000000" w:themeColor="text1"/>
          <w:lang w:eastAsia="en-GB"/>
        </w:rPr>
        <w:t xml:space="preserve">Second, at a time when consumer inflation is running at 7.8% (ABS 2023) </w:t>
      </w:r>
      <w:r w:rsidR="004E16B5">
        <w:rPr>
          <w:rFonts w:eastAsia="Times New Roman" w:cstheme="minorHAnsi"/>
          <w:color w:val="000000" w:themeColor="text1"/>
          <w:lang w:eastAsia="en-GB"/>
        </w:rPr>
        <w:t xml:space="preserve">a decrease in nominal wages would exert additional hardship on households’ budgets. Third, </w:t>
      </w:r>
      <w:r w:rsidR="00E8085D">
        <w:rPr>
          <w:rFonts w:eastAsia="Times New Roman" w:cstheme="minorHAnsi"/>
          <w:color w:val="000000" w:themeColor="text1"/>
          <w:lang w:eastAsia="en-GB"/>
        </w:rPr>
        <w:t>t</w:t>
      </w:r>
      <w:r w:rsidR="00F9111C">
        <w:rPr>
          <w:rFonts w:eastAsia="Times New Roman" w:cstheme="minorHAnsi"/>
          <w:color w:val="000000" w:themeColor="text1"/>
          <w:lang w:eastAsia="en-GB"/>
        </w:rPr>
        <w:t xml:space="preserve">he latest job vacancy data </w:t>
      </w:r>
      <w:r w:rsidR="00D93643">
        <w:rPr>
          <w:rFonts w:eastAsia="Times New Roman" w:cstheme="minorHAnsi"/>
          <w:color w:val="000000" w:themeColor="text1"/>
          <w:lang w:eastAsia="en-GB"/>
        </w:rPr>
        <w:t xml:space="preserve">for Illawarra and the South Coast shows there are </w:t>
      </w:r>
      <w:r w:rsidR="000A4FF4">
        <w:rPr>
          <w:rFonts w:eastAsia="Times New Roman" w:cstheme="minorHAnsi"/>
          <w:color w:val="000000" w:themeColor="text1"/>
          <w:lang w:eastAsia="en-GB"/>
        </w:rPr>
        <w:t xml:space="preserve">currently </w:t>
      </w:r>
      <w:r w:rsidR="00D93643">
        <w:rPr>
          <w:rFonts w:eastAsia="Times New Roman" w:cstheme="minorHAnsi"/>
          <w:color w:val="000000" w:themeColor="text1"/>
          <w:lang w:eastAsia="en-GB"/>
        </w:rPr>
        <w:t>32</w:t>
      </w:r>
      <w:r w:rsidR="000F1983">
        <w:rPr>
          <w:rFonts w:eastAsia="Times New Roman" w:cstheme="minorHAnsi"/>
          <w:color w:val="000000" w:themeColor="text1"/>
          <w:lang w:eastAsia="en-GB"/>
        </w:rPr>
        <w:t>7</w:t>
      </w:r>
      <w:r w:rsidR="00D93643">
        <w:rPr>
          <w:rFonts w:eastAsia="Times New Roman" w:cstheme="minorHAnsi"/>
          <w:color w:val="000000" w:themeColor="text1"/>
          <w:lang w:eastAsia="en-GB"/>
        </w:rPr>
        <w:t xml:space="preserve"> job vacancies </w:t>
      </w:r>
      <w:r w:rsidR="009A6307">
        <w:rPr>
          <w:rFonts w:eastAsia="Times New Roman" w:cstheme="minorHAnsi"/>
          <w:color w:val="000000" w:themeColor="text1"/>
          <w:lang w:eastAsia="en-GB"/>
        </w:rPr>
        <w:t>for</w:t>
      </w:r>
      <w:r w:rsidR="00D93643">
        <w:rPr>
          <w:rFonts w:eastAsia="Times New Roman" w:cstheme="minorHAnsi"/>
          <w:color w:val="000000" w:themeColor="text1"/>
          <w:lang w:eastAsia="en-GB"/>
        </w:rPr>
        <w:t xml:space="preserve"> </w:t>
      </w:r>
      <w:r w:rsidR="000F5193">
        <w:rPr>
          <w:rFonts w:eastAsia="Times New Roman" w:cstheme="minorHAnsi"/>
          <w:color w:val="000000" w:themeColor="text1"/>
          <w:lang w:eastAsia="en-GB"/>
        </w:rPr>
        <w:t>Health and Welfare Support Workers</w:t>
      </w:r>
      <w:r w:rsidR="00301272">
        <w:rPr>
          <w:rFonts w:eastAsia="Times New Roman" w:cstheme="minorHAnsi"/>
          <w:color w:val="000000" w:themeColor="text1"/>
          <w:lang w:eastAsia="en-GB"/>
        </w:rPr>
        <w:t>,</w:t>
      </w:r>
      <w:r w:rsidR="000F5193">
        <w:rPr>
          <w:rFonts w:eastAsia="Times New Roman" w:cstheme="minorHAnsi"/>
          <w:color w:val="000000" w:themeColor="text1"/>
          <w:lang w:eastAsia="en-GB"/>
        </w:rPr>
        <w:t xml:space="preserve"> and</w:t>
      </w:r>
      <w:r w:rsidR="00301272">
        <w:rPr>
          <w:rFonts w:eastAsia="Times New Roman" w:cstheme="minorHAnsi"/>
          <w:color w:val="000000" w:themeColor="text1"/>
          <w:lang w:eastAsia="en-GB"/>
        </w:rPr>
        <w:t xml:space="preserve"> Carers and Aides</w:t>
      </w:r>
      <w:r w:rsidR="00567E2D">
        <w:rPr>
          <w:rFonts w:eastAsia="Times New Roman" w:cstheme="minorHAnsi"/>
          <w:color w:val="000000" w:themeColor="text1"/>
          <w:lang w:eastAsia="en-GB"/>
        </w:rPr>
        <w:t xml:space="preserve"> (National Skills Commission 2023)</w:t>
      </w:r>
      <w:r w:rsidR="00E8085D">
        <w:rPr>
          <w:rFonts w:eastAsia="Times New Roman" w:cstheme="minorHAnsi"/>
          <w:color w:val="000000" w:themeColor="text1"/>
          <w:lang w:eastAsia="en-GB"/>
        </w:rPr>
        <w:t xml:space="preserve">. This represents </w:t>
      </w:r>
      <w:r w:rsidR="00301272">
        <w:rPr>
          <w:rFonts w:eastAsia="Times New Roman" w:cstheme="minorHAnsi"/>
          <w:color w:val="000000" w:themeColor="text1"/>
          <w:lang w:eastAsia="en-GB"/>
        </w:rPr>
        <w:t>over 10% of the total job vacancies in the region</w:t>
      </w:r>
      <w:r w:rsidR="00E8085D">
        <w:rPr>
          <w:rFonts w:eastAsia="Times New Roman" w:cstheme="minorHAnsi"/>
          <w:color w:val="000000" w:themeColor="text1"/>
          <w:lang w:eastAsia="en-GB"/>
        </w:rPr>
        <w:t xml:space="preserve">, compared to </w:t>
      </w:r>
      <w:r w:rsidR="00301272">
        <w:rPr>
          <w:rFonts w:eastAsia="Times New Roman" w:cstheme="minorHAnsi"/>
          <w:color w:val="000000" w:themeColor="text1"/>
          <w:lang w:eastAsia="en-GB"/>
        </w:rPr>
        <w:t>less than 6%</w:t>
      </w:r>
      <w:r w:rsidR="000A4FF4">
        <w:rPr>
          <w:rFonts w:eastAsia="Times New Roman" w:cstheme="minorHAnsi"/>
          <w:color w:val="000000" w:themeColor="text1"/>
          <w:lang w:eastAsia="en-GB"/>
        </w:rPr>
        <w:t xml:space="preserve"> </w:t>
      </w:r>
      <w:r w:rsidR="00E8085D">
        <w:rPr>
          <w:rFonts w:eastAsia="Times New Roman" w:cstheme="minorHAnsi"/>
          <w:color w:val="000000" w:themeColor="text1"/>
          <w:lang w:eastAsia="en-GB"/>
        </w:rPr>
        <w:t>at the national level</w:t>
      </w:r>
      <w:r w:rsidR="000A4FF4">
        <w:rPr>
          <w:rFonts w:eastAsia="Times New Roman" w:cstheme="minorHAnsi"/>
          <w:color w:val="000000" w:themeColor="text1"/>
          <w:lang w:eastAsia="en-GB"/>
        </w:rPr>
        <w:t>.</w:t>
      </w:r>
      <w:r w:rsidR="00E8085D">
        <w:rPr>
          <w:rFonts w:eastAsia="Times New Roman" w:cstheme="minorHAnsi"/>
          <w:color w:val="000000" w:themeColor="text1"/>
          <w:lang w:eastAsia="en-GB"/>
        </w:rPr>
        <w:t xml:space="preserve"> Therefore, the shortage of aged care workers is particularly acute in the Illawarra. Fundamental labour economics would suggest that decreasing wages would intensify labour shortages at Blue Haven.</w:t>
      </w:r>
      <w:r w:rsidR="000F5193">
        <w:rPr>
          <w:rFonts w:eastAsia="Times New Roman" w:cstheme="minorHAnsi"/>
          <w:color w:val="000000" w:themeColor="text1"/>
          <w:lang w:eastAsia="en-GB"/>
        </w:rPr>
        <w:t xml:space="preserve"> </w:t>
      </w:r>
      <w:r w:rsidR="00007949">
        <w:rPr>
          <w:rFonts w:eastAsia="Times New Roman" w:cstheme="minorHAnsi"/>
          <w:color w:val="000000" w:themeColor="text1"/>
          <w:lang w:eastAsia="en-GB"/>
        </w:rPr>
        <w:t xml:space="preserve"> </w:t>
      </w:r>
      <w:r w:rsidR="005A3240">
        <w:rPr>
          <w:rFonts w:eastAsia="Times New Roman" w:cstheme="minorHAnsi"/>
          <w:color w:val="000000" w:themeColor="text1"/>
          <w:lang w:eastAsia="en-GB"/>
        </w:rPr>
        <w:t xml:space="preserve"> </w:t>
      </w:r>
      <w:r w:rsidR="004D7F3C">
        <w:rPr>
          <w:rFonts w:eastAsia="Times New Roman" w:cstheme="minorHAnsi"/>
          <w:color w:val="000000" w:themeColor="text1"/>
          <w:lang w:eastAsia="en-GB"/>
        </w:rPr>
        <w:t xml:space="preserve"> </w:t>
      </w:r>
    </w:p>
    <w:p w14:paraId="6904F416" w14:textId="77777777" w:rsidR="00EF3A8C" w:rsidRPr="003054DA" w:rsidRDefault="00EF3A8C" w:rsidP="00FD1261">
      <w:pPr>
        <w:spacing w:after="240"/>
        <w:jc w:val="both"/>
        <w:rPr>
          <w:rFonts w:cstheme="minorHAnsi"/>
        </w:rPr>
      </w:pPr>
    </w:p>
    <w:p w14:paraId="3093E750" w14:textId="3DF037BC" w:rsidR="00FD50EE" w:rsidRPr="00E8085D" w:rsidRDefault="00EF3A8C" w:rsidP="00FD1261">
      <w:pPr>
        <w:spacing w:after="240"/>
        <w:jc w:val="both"/>
        <w:rPr>
          <w:rFonts w:cstheme="minorHAnsi"/>
          <w:b/>
          <w:bCs/>
        </w:rPr>
      </w:pPr>
      <w:r w:rsidRPr="003054DA">
        <w:rPr>
          <w:rFonts w:cstheme="minorHAnsi"/>
          <w:b/>
          <w:bCs/>
        </w:rPr>
        <w:t>Kiama</w:t>
      </w:r>
      <w:r w:rsidR="00FD50EE">
        <w:rPr>
          <w:rFonts w:cstheme="minorHAnsi"/>
          <w:b/>
          <w:bCs/>
        </w:rPr>
        <w:t xml:space="preserve"> Rate Payers and</w:t>
      </w:r>
      <w:r w:rsidRPr="003054DA">
        <w:rPr>
          <w:rFonts w:cstheme="minorHAnsi"/>
          <w:b/>
          <w:bCs/>
        </w:rPr>
        <w:t xml:space="preserve"> Community</w:t>
      </w:r>
    </w:p>
    <w:p w14:paraId="4A3F171A" w14:textId="792068E4" w:rsidR="00703E0C" w:rsidRDefault="00EF3A8C" w:rsidP="009A6307">
      <w:pPr>
        <w:spacing w:after="240"/>
        <w:jc w:val="both"/>
        <w:outlineLvl w:val="5"/>
        <w:rPr>
          <w:rFonts w:eastAsia="Times New Roman" w:cstheme="minorHAnsi"/>
          <w:lang w:eastAsia="en-GB"/>
        </w:rPr>
      </w:pPr>
      <w:r w:rsidRPr="00FD50EE">
        <w:rPr>
          <w:rFonts w:cstheme="minorHAnsi"/>
          <w:color w:val="000000"/>
        </w:rPr>
        <w:t xml:space="preserve">Sale of </w:t>
      </w:r>
      <w:r w:rsidR="00FD50EE">
        <w:rPr>
          <w:rFonts w:cstheme="minorHAnsi"/>
          <w:color w:val="000000"/>
        </w:rPr>
        <w:t xml:space="preserve">Blue Haven represents the </w:t>
      </w:r>
      <w:r w:rsidRPr="00FD50EE">
        <w:rPr>
          <w:rFonts w:cstheme="minorHAnsi"/>
          <w:color w:val="000000"/>
        </w:rPr>
        <w:t xml:space="preserve">sale of </w:t>
      </w:r>
      <w:r w:rsidR="00B02681">
        <w:rPr>
          <w:rFonts w:cstheme="minorHAnsi"/>
          <w:color w:val="000000"/>
        </w:rPr>
        <w:t xml:space="preserve">a </w:t>
      </w:r>
      <w:r w:rsidRPr="00FD50EE">
        <w:rPr>
          <w:rFonts w:cstheme="minorHAnsi"/>
          <w:color w:val="000000"/>
        </w:rPr>
        <w:t>community asset with a long tradition of community support</w:t>
      </w:r>
      <w:r w:rsidR="00294BE3">
        <w:rPr>
          <w:rFonts w:cstheme="minorHAnsi"/>
          <w:color w:val="000000"/>
        </w:rPr>
        <w:t xml:space="preserve"> and goodwill</w:t>
      </w:r>
      <w:r w:rsidRPr="00FD50EE">
        <w:rPr>
          <w:rFonts w:cstheme="minorHAnsi"/>
          <w:color w:val="000000"/>
        </w:rPr>
        <w:t>.</w:t>
      </w:r>
      <w:r w:rsidR="00FD50EE">
        <w:rPr>
          <w:rFonts w:cstheme="minorHAnsi"/>
          <w:caps/>
          <w:spacing w:val="11"/>
        </w:rPr>
        <w:t xml:space="preserve"> </w:t>
      </w:r>
      <w:r w:rsidRPr="00FD50EE">
        <w:rPr>
          <w:rFonts w:eastAsia="Times New Roman" w:cstheme="minorHAnsi"/>
          <w:lang w:eastAsia="en-GB"/>
        </w:rPr>
        <w:t xml:space="preserve">Even the name Blue Haven was </w:t>
      </w:r>
      <w:r w:rsidR="00B02681">
        <w:rPr>
          <w:rFonts w:eastAsia="Times New Roman" w:cstheme="minorHAnsi"/>
          <w:lang w:eastAsia="en-GB"/>
        </w:rPr>
        <w:t>bestowed</w:t>
      </w:r>
      <w:r w:rsidRPr="00FD50EE">
        <w:rPr>
          <w:rFonts w:eastAsia="Times New Roman" w:cstheme="minorHAnsi"/>
          <w:lang w:eastAsia="en-GB"/>
        </w:rPr>
        <w:t xml:space="preserve"> by </w:t>
      </w:r>
      <w:proofErr w:type="gramStart"/>
      <w:r w:rsidRPr="00FD50EE">
        <w:rPr>
          <w:rFonts w:eastAsia="Times New Roman" w:cstheme="minorHAnsi"/>
          <w:lang w:eastAsia="en-GB"/>
        </w:rPr>
        <w:t>local residents</w:t>
      </w:r>
      <w:proofErr w:type="gramEnd"/>
      <w:r w:rsidRPr="00FD50EE">
        <w:rPr>
          <w:rFonts w:eastAsia="Times New Roman" w:cstheme="minorHAnsi"/>
          <w:lang w:eastAsia="en-GB"/>
        </w:rPr>
        <w:t xml:space="preserve"> in response to a competition in 1975. Potential loss of Blue Haven from </w:t>
      </w:r>
      <w:r w:rsidR="009A6307">
        <w:rPr>
          <w:rFonts w:eastAsia="Times New Roman" w:cstheme="minorHAnsi"/>
          <w:lang w:eastAsia="en-GB"/>
        </w:rPr>
        <w:t xml:space="preserve">Kiama </w:t>
      </w:r>
      <w:r w:rsidRPr="00FD50EE">
        <w:rPr>
          <w:rFonts w:eastAsia="Times New Roman" w:cstheme="minorHAnsi"/>
          <w:lang w:eastAsia="en-GB"/>
        </w:rPr>
        <w:t xml:space="preserve">council hands was </w:t>
      </w:r>
      <w:r w:rsidR="00B02681">
        <w:rPr>
          <w:rFonts w:eastAsia="Times New Roman" w:cstheme="minorHAnsi"/>
          <w:lang w:eastAsia="en-GB"/>
        </w:rPr>
        <w:t xml:space="preserve">also </w:t>
      </w:r>
      <w:r w:rsidRPr="00FD50EE">
        <w:rPr>
          <w:rFonts w:eastAsia="Times New Roman" w:cstheme="minorHAnsi"/>
          <w:lang w:eastAsia="en-GB"/>
        </w:rPr>
        <w:t>one of the factors in the fierce opposition to amalgamation with Shoalhaven</w:t>
      </w:r>
      <w:r w:rsidR="00703E0C">
        <w:rPr>
          <w:rFonts w:eastAsia="Times New Roman" w:cstheme="minorHAnsi"/>
          <w:lang w:eastAsia="en-GB"/>
        </w:rPr>
        <w:t xml:space="preserve"> Council</w:t>
      </w:r>
      <w:r w:rsidRPr="00FD50EE">
        <w:rPr>
          <w:rFonts w:eastAsia="Times New Roman" w:cstheme="minorHAnsi"/>
          <w:lang w:eastAsia="en-GB"/>
        </w:rPr>
        <w:t xml:space="preserve"> in 2015. </w:t>
      </w:r>
      <w:r w:rsidR="00B02681">
        <w:rPr>
          <w:rFonts w:eastAsia="Times New Roman" w:cstheme="minorHAnsi"/>
          <w:lang w:eastAsia="en-GB"/>
        </w:rPr>
        <w:t>Current s</w:t>
      </w:r>
      <w:r w:rsidR="00703E0C">
        <w:rPr>
          <w:rFonts w:eastAsia="Times New Roman" w:cstheme="minorHAnsi"/>
          <w:lang w:eastAsia="en-GB"/>
        </w:rPr>
        <w:t xml:space="preserve">upporters such as the </w:t>
      </w:r>
      <w:r w:rsidR="00697BAE" w:rsidRPr="00FD50EE">
        <w:rPr>
          <w:rFonts w:eastAsia="Times New Roman" w:cstheme="minorHAnsi"/>
          <w:lang w:eastAsia="en-GB"/>
        </w:rPr>
        <w:t xml:space="preserve">Friends of </w:t>
      </w:r>
      <w:r w:rsidR="00094E86" w:rsidRPr="00FD50EE">
        <w:rPr>
          <w:rFonts w:eastAsia="Times New Roman" w:cstheme="minorHAnsi"/>
          <w:lang w:eastAsia="en-GB"/>
        </w:rPr>
        <w:t xml:space="preserve">Blue Haven </w:t>
      </w:r>
      <w:r w:rsidR="00703E0C">
        <w:rPr>
          <w:rFonts w:eastAsia="Times New Roman" w:cstheme="minorHAnsi"/>
          <w:lang w:eastAsia="en-GB"/>
        </w:rPr>
        <w:t xml:space="preserve">group </w:t>
      </w:r>
      <w:r w:rsidR="00697BAE" w:rsidRPr="00FD50EE">
        <w:rPr>
          <w:rFonts w:eastAsia="Times New Roman" w:cstheme="minorHAnsi"/>
          <w:lang w:eastAsia="en-GB"/>
        </w:rPr>
        <w:t>have r</w:t>
      </w:r>
      <w:r w:rsidR="00B02681">
        <w:rPr>
          <w:rFonts w:eastAsia="Times New Roman" w:cstheme="minorHAnsi"/>
          <w:lang w:eastAsia="en-GB"/>
        </w:rPr>
        <w:t xml:space="preserve">aised money for </w:t>
      </w:r>
      <w:r w:rsidR="00697BAE" w:rsidRPr="00FD50EE">
        <w:rPr>
          <w:rFonts w:eastAsia="Times New Roman" w:cstheme="minorHAnsi"/>
          <w:lang w:eastAsia="en-GB"/>
        </w:rPr>
        <w:t>beds</w:t>
      </w:r>
      <w:r w:rsidR="00094E86" w:rsidRPr="00FD50EE">
        <w:rPr>
          <w:rFonts w:eastAsia="Times New Roman" w:cstheme="minorHAnsi"/>
          <w:lang w:eastAsia="en-GB"/>
        </w:rPr>
        <w:t>, a bus, craft items and entertainment</w:t>
      </w:r>
      <w:r w:rsidR="00B02681">
        <w:rPr>
          <w:rFonts w:eastAsia="Times New Roman" w:cstheme="minorHAnsi"/>
          <w:lang w:eastAsia="en-GB"/>
        </w:rPr>
        <w:t xml:space="preserve"> for residents</w:t>
      </w:r>
      <w:r w:rsidR="009A6307">
        <w:rPr>
          <w:rFonts w:eastAsia="Times New Roman" w:cstheme="minorHAnsi"/>
          <w:lang w:eastAsia="en-GB"/>
        </w:rPr>
        <w:t xml:space="preserve"> over many years</w:t>
      </w:r>
      <w:r w:rsidR="00F32EA4" w:rsidRPr="00FD50EE">
        <w:rPr>
          <w:rFonts w:eastAsia="Times New Roman" w:cstheme="minorHAnsi"/>
          <w:lang w:eastAsia="en-GB"/>
        </w:rPr>
        <w:t xml:space="preserve">. </w:t>
      </w:r>
      <w:r w:rsidR="00B02681">
        <w:rPr>
          <w:rFonts w:eastAsia="Times New Roman" w:cstheme="minorHAnsi"/>
          <w:lang w:eastAsia="en-GB"/>
        </w:rPr>
        <w:t>Similarly, v</w:t>
      </w:r>
      <w:r w:rsidR="00703E0C">
        <w:rPr>
          <w:rFonts w:eastAsia="Times New Roman" w:cstheme="minorHAnsi"/>
          <w:lang w:eastAsia="en-GB"/>
        </w:rPr>
        <w:t xml:space="preserve">olunteers provide much of the vital assistance to the operations of Blue Haven. </w:t>
      </w:r>
      <w:r w:rsidR="00F32EA4" w:rsidRPr="00FD50EE">
        <w:rPr>
          <w:rFonts w:eastAsia="Times New Roman" w:cstheme="minorHAnsi"/>
          <w:lang w:eastAsia="en-GB"/>
        </w:rPr>
        <w:t xml:space="preserve">It is </w:t>
      </w:r>
      <w:r w:rsidR="00294BE3">
        <w:rPr>
          <w:rFonts w:eastAsia="Times New Roman" w:cstheme="minorHAnsi"/>
          <w:lang w:eastAsia="en-GB"/>
        </w:rPr>
        <w:t xml:space="preserve">likely </w:t>
      </w:r>
      <w:r w:rsidR="00F32EA4" w:rsidRPr="00FD50EE">
        <w:rPr>
          <w:rFonts w:eastAsia="Times New Roman" w:cstheme="minorHAnsi"/>
          <w:lang w:eastAsia="en-GB"/>
        </w:rPr>
        <w:t>that much of th</w:t>
      </w:r>
      <w:r w:rsidR="00294BE3">
        <w:rPr>
          <w:rFonts w:eastAsia="Times New Roman" w:cstheme="minorHAnsi"/>
          <w:lang w:eastAsia="en-GB"/>
        </w:rPr>
        <w:t xml:space="preserve">is public support </w:t>
      </w:r>
      <w:r w:rsidR="00FB492F">
        <w:rPr>
          <w:rFonts w:eastAsia="Times New Roman" w:cstheme="minorHAnsi"/>
          <w:lang w:eastAsia="en-GB"/>
        </w:rPr>
        <w:t xml:space="preserve">and goodwill </w:t>
      </w:r>
      <w:r w:rsidR="00294BE3">
        <w:rPr>
          <w:rFonts w:eastAsia="Times New Roman" w:cstheme="minorHAnsi"/>
          <w:lang w:eastAsia="en-GB"/>
        </w:rPr>
        <w:t>would cease i</w:t>
      </w:r>
      <w:r w:rsidR="00FB492F">
        <w:rPr>
          <w:rFonts w:eastAsia="Times New Roman" w:cstheme="minorHAnsi"/>
          <w:lang w:eastAsia="en-GB"/>
        </w:rPr>
        <w:t xml:space="preserve">n the </w:t>
      </w:r>
      <w:r w:rsidR="009A6307">
        <w:rPr>
          <w:rFonts w:eastAsia="Times New Roman" w:cstheme="minorHAnsi"/>
          <w:lang w:eastAsia="en-GB"/>
        </w:rPr>
        <w:t>e</w:t>
      </w:r>
      <w:r w:rsidR="00FB492F">
        <w:rPr>
          <w:rFonts w:eastAsia="Times New Roman" w:cstheme="minorHAnsi"/>
          <w:lang w:eastAsia="en-GB"/>
        </w:rPr>
        <w:t>vent o</w:t>
      </w:r>
      <w:r w:rsidR="00294BE3">
        <w:rPr>
          <w:rFonts w:eastAsia="Times New Roman" w:cstheme="minorHAnsi"/>
          <w:lang w:eastAsia="en-GB"/>
        </w:rPr>
        <w:t>f Blue Haven</w:t>
      </w:r>
      <w:r w:rsidR="00121D07">
        <w:rPr>
          <w:rFonts w:eastAsia="Times New Roman" w:cstheme="minorHAnsi"/>
          <w:lang w:eastAsia="en-GB"/>
        </w:rPr>
        <w:t xml:space="preserve"> </w:t>
      </w:r>
      <w:r w:rsidR="00FB492F">
        <w:rPr>
          <w:rFonts w:eastAsia="Times New Roman" w:cstheme="minorHAnsi"/>
          <w:lang w:eastAsia="en-GB"/>
        </w:rPr>
        <w:t>being</w:t>
      </w:r>
      <w:r w:rsidR="00121D07">
        <w:rPr>
          <w:rFonts w:eastAsia="Times New Roman" w:cstheme="minorHAnsi"/>
          <w:lang w:eastAsia="en-GB"/>
        </w:rPr>
        <w:t xml:space="preserve"> </w:t>
      </w:r>
      <w:r w:rsidR="00B02681">
        <w:rPr>
          <w:rFonts w:eastAsia="Times New Roman" w:cstheme="minorHAnsi"/>
          <w:lang w:eastAsia="en-GB"/>
        </w:rPr>
        <w:t xml:space="preserve">divested to a private enterprise. </w:t>
      </w:r>
    </w:p>
    <w:p w14:paraId="2F61FB38" w14:textId="047684B3" w:rsidR="00527F88" w:rsidRDefault="009A6307" w:rsidP="00FD1261">
      <w:pPr>
        <w:pStyle w:val="NormalWeb"/>
        <w:spacing w:before="0" w:beforeAutospacing="0" w:after="240" w:afterAutospacing="0"/>
        <w:jc w:val="both"/>
        <w:rPr>
          <w:rFonts w:asciiTheme="minorHAnsi" w:hAnsiTheme="minorHAnsi" w:cstheme="minorHAnsi"/>
        </w:rPr>
      </w:pPr>
      <w:r>
        <w:rPr>
          <w:rFonts w:asciiTheme="minorHAnsi" w:hAnsiTheme="minorHAnsi" w:cstheme="minorHAnsi"/>
        </w:rPr>
        <w:t xml:space="preserve">The </w:t>
      </w:r>
      <w:r w:rsidR="00527F88">
        <w:rPr>
          <w:rFonts w:asciiTheme="minorHAnsi" w:hAnsiTheme="minorHAnsi" w:cstheme="minorHAnsi"/>
        </w:rPr>
        <w:t xml:space="preserve">financial losses associated with aged care facilities at </w:t>
      </w:r>
      <w:proofErr w:type="spellStart"/>
      <w:r w:rsidR="00527F88">
        <w:rPr>
          <w:rFonts w:asciiTheme="minorHAnsi" w:hAnsiTheme="minorHAnsi" w:cstheme="minorHAnsi"/>
        </w:rPr>
        <w:t>Bonaira</w:t>
      </w:r>
      <w:proofErr w:type="spellEnd"/>
      <w:r w:rsidR="00527F88">
        <w:rPr>
          <w:rFonts w:asciiTheme="minorHAnsi" w:hAnsiTheme="minorHAnsi" w:cstheme="minorHAnsi"/>
        </w:rPr>
        <w:t xml:space="preserve"> are currently typical for the sector. </w:t>
      </w:r>
      <w:r w:rsidR="00527F88" w:rsidRPr="00FB492F">
        <w:rPr>
          <w:rFonts w:asciiTheme="minorHAnsi" w:hAnsiTheme="minorHAnsi" w:cstheme="minorHAnsi"/>
        </w:rPr>
        <w:t xml:space="preserve">Blue Haven has overcome past issues with finance, land, changes in government and funding policies: “unswerving throughout has been the support of the Kiama community, </w:t>
      </w:r>
      <w:r w:rsidR="00527F88" w:rsidRPr="00FB492F">
        <w:rPr>
          <w:rFonts w:asciiTheme="minorHAnsi" w:hAnsiTheme="minorHAnsi" w:cstheme="minorHAnsi"/>
        </w:rPr>
        <w:lastRenderedPageBreak/>
        <w:t>service clubs, churches, Kiama Council and its officers and many individuals who have remained loyal to the concept and purpose, whatever major or minor setbacks there were” (</w:t>
      </w:r>
      <w:proofErr w:type="spellStart"/>
      <w:r w:rsidR="00527F88" w:rsidRPr="00FB492F">
        <w:rPr>
          <w:rFonts w:asciiTheme="minorHAnsi" w:hAnsiTheme="minorHAnsi" w:cstheme="minorHAnsi"/>
        </w:rPr>
        <w:t>Hartgerink</w:t>
      </w:r>
      <w:proofErr w:type="spellEnd"/>
      <w:r w:rsidR="00527F88" w:rsidRPr="00FB492F">
        <w:rPr>
          <w:rFonts w:asciiTheme="minorHAnsi" w:hAnsiTheme="minorHAnsi" w:cstheme="minorHAnsi"/>
        </w:rPr>
        <w:t xml:space="preserve"> 2019, p36).</w:t>
      </w:r>
    </w:p>
    <w:p w14:paraId="75A624A5" w14:textId="264B52FC" w:rsidR="00FB492F" w:rsidRPr="00527F88" w:rsidRDefault="00527F88" w:rsidP="00FD1261">
      <w:pPr>
        <w:pStyle w:val="NormalWeb"/>
        <w:spacing w:before="0" w:beforeAutospacing="0" w:after="240" w:afterAutospacing="0"/>
        <w:jc w:val="both"/>
        <w:rPr>
          <w:rFonts w:asciiTheme="minorHAnsi" w:hAnsiTheme="minorHAnsi" w:cstheme="minorHAnsi"/>
        </w:rPr>
      </w:pPr>
      <w:r>
        <w:rPr>
          <w:rFonts w:asciiTheme="minorHAnsi" w:hAnsiTheme="minorHAnsi" w:cstheme="minorHAnsi"/>
        </w:rPr>
        <w:t xml:space="preserve">The </w:t>
      </w:r>
      <w:r w:rsidRPr="00527F88">
        <w:rPr>
          <w:rFonts w:asciiTheme="minorHAnsi" w:hAnsiTheme="minorHAnsi" w:cstheme="minorHAnsi"/>
        </w:rPr>
        <w:t>most recent data from September 2022 shows</w:t>
      </w:r>
      <w:r w:rsidR="00486FE3" w:rsidRPr="00527F88">
        <w:rPr>
          <w:rFonts w:asciiTheme="minorHAnsi" w:hAnsiTheme="minorHAnsi" w:cstheme="minorHAnsi"/>
        </w:rPr>
        <w:t xml:space="preserve"> that 70% of aged care homes in Australia are currently operating at a loss, up from 56% from the previous year (Stewart Brown 2023). On average, aged care facilities are running at a loss of $7,092 per bed per annum. Authors of this report argue that residential aged in Australia is at a critical financial sustainability position</w:t>
      </w:r>
      <w:r w:rsidR="00FB492F" w:rsidRPr="00527F88">
        <w:rPr>
          <w:rFonts w:asciiTheme="minorHAnsi" w:hAnsiTheme="minorHAnsi" w:cstheme="minorHAnsi"/>
        </w:rPr>
        <w:t xml:space="preserve">, however, </w:t>
      </w:r>
      <w:r w:rsidR="009A6307">
        <w:rPr>
          <w:rFonts w:asciiTheme="minorHAnsi" w:hAnsiTheme="minorHAnsi" w:cstheme="minorHAnsi"/>
        </w:rPr>
        <w:t xml:space="preserve">also note that </w:t>
      </w:r>
      <w:r w:rsidR="00FB492F" w:rsidRPr="00527F88">
        <w:rPr>
          <w:rFonts w:asciiTheme="minorHAnsi" w:hAnsiTheme="minorHAnsi" w:cstheme="minorHAnsi"/>
        </w:rPr>
        <w:t xml:space="preserve">there </w:t>
      </w:r>
      <w:r w:rsidR="009A6307">
        <w:rPr>
          <w:rFonts w:asciiTheme="minorHAnsi" w:hAnsiTheme="minorHAnsi" w:cstheme="minorHAnsi"/>
        </w:rPr>
        <w:t xml:space="preserve">is expected to be a </w:t>
      </w:r>
      <w:r w:rsidR="00FB492F" w:rsidRPr="00527F88">
        <w:rPr>
          <w:rFonts w:asciiTheme="minorHAnsi" w:hAnsiTheme="minorHAnsi" w:cstheme="minorHAnsi"/>
        </w:rPr>
        <w:t xml:space="preserve">lag between when </w:t>
      </w:r>
      <w:r w:rsidR="009A6307">
        <w:rPr>
          <w:rFonts w:asciiTheme="minorHAnsi" w:hAnsiTheme="minorHAnsi" w:cstheme="minorHAnsi"/>
        </w:rPr>
        <w:t xml:space="preserve">aged care </w:t>
      </w:r>
      <w:r w:rsidR="00FB492F" w:rsidRPr="00527F88">
        <w:rPr>
          <w:rFonts w:asciiTheme="minorHAnsi" w:hAnsiTheme="minorHAnsi" w:cstheme="minorHAnsi"/>
        </w:rPr>
        <w:t>reforms were implemented and when that will positively impact financial performance</w:t>
      </w:r>
      <w:r w:rsidR="00486FE3" w:rsidRPr="00527F88">
        <w:rPr>
          <w:rFonts w:asciiTheme="minorHAnsi" w:hAnsiTheme="minorHAnsi" w:cstheme="minorHAnsi"/>
        </w:rPr>
        <w:t xml:space="preserve">. </w:t>
      </w:r>
      <w:r w:rsidR="00FB492F" w:rsidRPr="00527F88">
        <w:rPr>
          <w:rFonts w:asciiTheme="minorHAnsi" w:hAnsiTheme="minorHAnsi" w:cstheme="minorHAnsi"/>
        </w:rPr>
        <w:t xml:space="preserve">Federal Aged Care Minister </w:t>
      </w:r>
      <w:r w:rsidRPr="00527F88">
        <w:rPr>
          <w:rFonts w:asciiTheme="minorHAnsi" w:hAnsiTheme="minorHAnsi" w:cstheme="minorHAnsi"/>
        </w:rPr>
        <w:t>Anika Wells has stated that</w:t>
      </w:r>
      <w:r w:rsidRPr="00527F88">
        <w:rPr>
          <w:rFonts w:asciiTheme="minorHAnsi" w:hAnsiTheme="minorHAnsi" w:cstheme="minorHAnsi"/>
          <w:color w:val="333333"/>
          <w:shd w:val="clear" w:color="auto" w:fill="FFFFFF"/>
        </w:rPr>
        <w:t xml:space="preserve"> residential aged-care funding will increase by 12 per cent in 2022-23 to $16.4bn, with f</w:t>
      </w:r>
      <w:r w:rsidR="0039547A">
        <w:rPr>
          <w:rFonts w:asciiTheme="minorHAnsi" w:hAnsiTheme="minorHAnsi" w:cstheme="minorHAnsi"/>
          <w:color w:val="333333"/>
          <w:shd w:val="clear" w:color="auto" w:fill="FFFFFF"/>
        </w:rPr>
        <w:t>e</w:t>
      </w:r>
      <w:r w:rsidRPr="00527F88">
        <w:rPr>
          <w:rFonts w:asciiTheme="minorHAnsi" w:hAnsiTheme="minorHAnsi" w:cstheme="minorHAnsi"/>
          <w:color w:val="333333"/>
          <w:shd w:val="clear" w:color="auto" w:fill="FFFFFF"/>
        </w:rPr>
        <w:t>deral spending expected to increase from $30billion in the current financial year $52.5billion in 2032-33 (Lunn 2023).</w:t>
      </w:r>
    </w:p>
    <w:p w14:paraId="1FA5C80B" w14:textId="32BB5BC6" w:rsidR="00703E0C" w:rsidRDefault="00884AF0" w:rsidP="00FD1261">
      <w:pPr>
        <w:spacing w:after="240"/>
        <w:jc w:val="both"/>
        <w:outlineLvl w:val="2"/>
        <w:rPr>
          <w:rFonts w:eastAsia="Times New Roman" w:cstheme="minorHAnsi"/>
          <w:lang w:eastAsia="en-GB"/>
        </w:rPr>
      </w:pPr>
      <w:r w:rsidRPr="00703E0C">
        <w:rPr>
          <w:rFonts w:eastAsia="Times New Roman" w:cstheme="minorHAnsi"/>
          <w:lang w:eastAsia="en-GB"/>
        </w:rPr>
        <w:t>A p</w:t>
      </w:r>
      <w:r w:rsidR="00953E9E" w:rsidRPr="00703E0C">
        <w:rPr>
          <w:rFonts w:eastAsia="Times New Roman" w:cstheme="minorHAnsi"/>
          <w:lang w:eastAsia="en-GB"/>
        </w:rPr>
        <w:t xml:space="preserve">rofit motive </w:t>
      </w:r>
      <w:r w:rsidRPr="00703E0C">
        <w:rPr>
          <w:rFonts w:eastAsia="Times New Roman" w:cstheme="minorHAnsi"/>
          <w:lang w:eastAsia="en-GB"/>
        </w:rPr>
        <w:t xml:space="preserve">has not been </w:t>
      </w:r>
      <w:r w:rsidR="00953E9E" w:rsidRPr="00703E0C">
        <w:rPr>
          <w:rFonts w:eastAsia="Times New Roman" w:cstheme="minorHAnsi"/>
          <w:lang w:eastAsia="en-GB"/>
        </w:rPr>
        <w:t xml:space="preserve">at the forefront of </w:t>
      </w:r>
      <w:r w:rsidR="00F257B7" w:rsidRPr="00703E0C">
        <w:rPr>
          <w:rFonts w:eastAsia="Times New Roman" w:cstheme="minorHAnsi"/>
          <w:lang w:eastAsia="en-GB"/>
        </w:rPr>
        <w:t>Blue Haven’s</w:t>
      </w:r>
      <w:r w:rsidRPr="00703E0C">
        <w:rPr>
          <w:rFonts w:eastAsia="Times New Roman" w:cstheme="minorHAnsi"/>
          <w:lang w:eastAsia="en-GB"/>
        </w:rPr>
        <w:t xml:space="preserve"> business model </w:t>
      </w:r>
      <w:r w:rsidR="00EB2414" w:rsidRPr="00703E0C">
        <w:rPr>
          <w:rFonts w:eastAsia="Times New Roman" w:cstheme="minorHAnsi"/>
          <w:lang w:eastAsia="en-GB"/>
        </w:rPr>
        <w:t>“We didn’t have a profit motive as such – rather a social objective in provi</w:t>
      </w:r>
      <w:r w:rsidR="008D58A8" w:rsidRPr="00703E0C">
        <w:rPr>
          <w:rFonts w:eastAsia="Times New Roman" w:cstheme="minorHAnsi"/>
          <w:lang w:eastAsia="en-GB"/>
        </w:rPr>
        <w:t>ding quality retirement living options</w:t>
      </w:r>
      <w:r w:rsidR="00A171FA" w:rsidRPr="00703E0C">
        <w:rPr>
          <w:rFonts w:eastAsia="Times New Roman" w:cstheme="minorHAnsi"/>
          <w:lang w:eastAsia="en-GB"/>
        </w:rPr>
        <w:t xml:space="preserve"> in the heart of Kiama” Michae</w:t>
      </w:r>
      <w:r w:rsidR="00F257B7" w:rsidRPr="00703E0C">
        <w:rPr>
          <w:rFonts w:eastAsia="Times New Roman" w:cstheme="minorHAnsi"/>
          <w:lang w:eastAsia="en-GB"/>
        </w:rPr>
        <w:t>l</w:t>
      </w:r>
      <w:r w:rsidR="00A171FA" w:rsidRPr="00703E0C">
        <w:rPr>
          <w:rFonts w:eastAsia="Times New Roman" w:cstheme="minorHAnsi"/>
          <w:lang w:eastAsia="en-GB"/>
        </w:rPr>
        <w:t xml:space="preserve"> Forsyth Former Kiama Council General Manager (</w:t>
      </w:r>
      <w:proofErr w:type="spellStart"/>
      <w:r w:rsidR="00A171FA" w:rsidRPr="00703E0C">
        <w:rPr>
          <w:rFonts w:eastAsia="Times New Roman" w:cstheme="minorHAnsi"/>
          <w:lang w:eastAsia="en-GB"/>
        </w:rPr>
        <w:t>Hartgerink</w:t>
      </w:r>
      <w:proofErr w:type="spellEnd"/>
      <w:r w:rsidR="00A171FA" w:rsidRPr="00703E0C">
        <w:rPr>
          <w:rFonts w:eastAsia="Times New Roman" w:cstheme="minorHAnsi"/>
          <w:lang w:eastAsia="en-GB"/>
        </w:rPr>
        <w:t xml:space="preserve"> 2019 p50)</w:t>
      </w:r>
      <w:r w:rsidR="00703E0C">
        <w:rPr>
          <w:rFonts w:eastAsia="Times New Roman" w:cstheme="minorHAnsi"/>
          <w:lang w:eastAsia="en-GB"/>
        </w:rPr>
        <w:t xml:space="preserve">. However, the </w:t>
      </w:r>
      <w:r w:rsidR="00823049" w:rsidRPr="00703E0C">
        <w:rPr>
          <w:rFonts w:eastAsia="Times New Roman" w:cstheme="minorHAnsi"/>
          <w:lang w:eastAsia="en-GB"/>
        </w:rPr>
        <w:t>Kiama</w:t>
      </w:r>
      <w:r w:rsidR="00703E0C">
        <w:rPr>
          <w:rFonts w:eastAsia="Times New Roman" w:cstheme="minorHAnsi"/>
          <w:lang w:eastAsia="en-GB"/>
        </w:rPr>
        <w:t xml:space="preserve"> Council and community</w:t>
      </w:r>
      <w:r w:rsidR="00823049" w:rsidRPr="00703E0C">
        <w:rPr>
          <w:rFonts w:eastAsia="Times New Roman" w:cstheme="minorHAnsi"/>
          <w:lang w:eastAsia="en-GB"/>
        </w:rPr>
        <w:t xml:space="preserve"> has benefitted from Blue Haven profits in the past.</w:t>
      </w:r>
      <w:r w:rsidR="003379F4" w:rsidRPr="00703E0C">
        <w:rPr>
          <w:rFonts w:eastAsia="Times New Roman" w:cstheme="minorHAnsi"/>
          <w:lang w:eastAsia="en-GB"/>
        </w:rPr>
        <w:t xml:space="preserve"> </w:t>
      </w:r>
      <w:r w:rsidR="00703E0C">
        <w:rPr>
          <w:rFonts w:eastAsia="Times New Roman" w:cstheme="minorHAnsi"/>
          <w:lang w:eastAsia="en-GB"/>
        </w:rPr>
        <w:t xml:space="preserve">For example, </w:t>
      </w:r>
      <w:r w:rsidR="003379F4" w:rsidRPr="00703E0C">
        <w:rPr>
          <w:rFonts w:eastAsia="Times New Roman" w:cstheme="minorHAnsi"/>
          <w:lang w:eastAsia="en-GB"/>
        </w:rPr>
        <w:t xml:space="preserve">Blue Haven </w:t>
      </w:r>
      <w:r w:rsidR="004620DA" w:rsidRPr="00703E0C">
        <w:rPr>
          <w:rFonts w:eastAsia="Times New Roman" w:cstheme="minorHAnsi"/>
          <w:lang w:eastAsia="en-GB"/>
        </w:rPr>
        <w:t>profit</w:t>
      </w:r>
      <w:r w:rsidR="00A5416F" w:rsidRPr="00703E0C">
        <w:rPr>
          <w:rFonts w:eastAsia="Times New Roman" w:cstheme="minorHAnsi"/>
          <w:lang w:eastAsia="en-GB"/>
        </w:rPr>
        <w:t>s of $3 mil</w:t>
      </w:r>
      <w:r w:rsidR="004620DA" w:rsidRPr="00703E0C">
        <w:rPr>
          <w:rFonts w:eastAsia="Times New Roman" w:cstheme="minorHAnsi"/>
          <w:lang w:eastAsia="en-GB"/>
        </w:rPr>
        <w:t xml:space="preserve"> </w:t>
      </w:r>
      <w:r w:rsidR="00A5416F" w:rsidRPr="00703E0C">
        <w:rPr>
          <w:rFonts w:eastAsia="Times New Roman" w:cstheme="minorHAnsi"/>
          <w:lang w:eastAsia="en-GB"/>
        </w:rPr>
        <w:t>contributed to the building of The Pav</w:t>
      </w:r>
      <w:r w:rsidR="00041AA4" w:rsidRPr="00703E0C">
        <w:rPr>
          <w:rFonts w:eastAsia="Times New Roman" w:cstheme="minorHAnsi"/>
          <w:lang w:eastAsia="en-GB"/>
        </w:rPr>
        <w:t>i</w:t>
      </w:r>
      <w:r w:rsidR="002C0402" w:rsidRPr="00703E0C">
        <w:rPr>
          <w:rFonts w:eastAsia="Times New Roman" w:cstheme="minorHAnsi"/>
          <w:lang w:eastAsia="en-GB"/>
        </w:rPr>
        <w:t>l</w:t>
      </w:r>
      <w:r w:rsidR="00041AA4" w:rsidRPr="00703E0C">
        <w:rPr>
          <w:rFonts w:eastAsia="Times New Roman" w:cstheme="minorHAnsi"/>
          <w:lang w:eastAsia="en-GB"/>
        </w:rPr>
        <w:t>ion on Kiama Showground</w:t>
      </w:r>
      <w:r w:rsidR="003379F4" w:rsidRPr="00703E0C">
        <w:rPr>
          <w:rFonts w:eastAsia="Times New Roman" w:cstheme="minorHAnsi"/>
          <w:lang w:eastAsia="en-GB"/>
        </w:rPr>
        <w:t xml:space="preserve"> in 2009</w:t>
      </w:r>
      <w:r w:rsidR="00041AA4" w:rsidRPr="00703E0C">
        <w:rPr>
          <w:rFonts w:eastAsia="Times New Roman" w:cstheme="minorHAnsi"/>
          <w:lang w:eastAsia="en-GB"/>
        </w:rPr>
        <w:t>.</w:t>
      </w:r>
      <w:r w:rsidR="004620DA" w:rsidRPr="00703E0C">
        <w:rPr>
          <w:rFonts w:eastAsia="Times New Roman" w:cstheme="minorHAnsi"/>
          <w:lang w:eastAsia="en-GB"/>
        </w:rPr>
        <w:t xml:space="preserve"> </w:t>
      </w:r>
    </w:p>
    <w:p w14:paraId="1BC08837" w14:textId="78FF38F8" w:rsidR="00957FF2" w:rsidRPr="009A6307" w:rsidRDefault="0044462A" w:rsidP="009A6307">
      <w:pPr>
        <w:spacing w:after="240"/>
        <w:jc w:val="both"/>
        <w:outlineLvl w:val="2"/>
        <w:rPr>
          <w:rFonts w:eastAsia="Times New Roman" w:cstheme="minorHAnsi"/>
          <w:lang w:eastAsia="en-GB"/>
        </w:rPr>
      </w:pPr>
      <w:r w:rsidRPr="00703E0C">
        <w:rPr>
          <w:rFonts w:eastAsia="Times New Roman" w:cstheme="minorHAnsi"/>
          <w:lang w:eastAsia="en-GB"/>
        </w:rPr>
        <w:t xml:space="preserve">Blue Haven </w:t>
      </w:r>
      <w:r w:rsidRPr="00121D07">
        <w:rPr>
          <w:rFonts w:eastAsia="Times New Roman" w:cstheme="minorHAnsi"/>
          <w:i/>
          <w:iCs/>
          <w:lang w:eastAsia="en-GB"/>
        </w:rPr>
        <w:t>had</w:t>
      </w:r>
      <w:r w:rsidRPr="00703E0C">
        <w:rPr>
          <w:rFonts w:eastAsia="Times New Roman" w:cstheme="minorHAnsi"/>
          <w:lang w:eastAsia="en-GB"/>
        </w:rPr>
        <w:t xml:space="preserve"> a good reputation</w:t>
      </w:r>
      <w:r w:rsidR="00703E0C">
        <w:rPr>
          <w:rFonts w:eastAsia="Times New Roman" w:cstheme="minorHAnsi"/>
          <w:lang w:eastAsia="en-GB"/>
        </w:rPr>
        <w:t xml:space="preserve"> with the public, regulators and health sector</w:t>
      </w:r>
      <w:r w:rsidRPr="00703E0C">
        <w:rPr>
          <w:rFonts w:eastAsia="Times New Roman" w:cstheme="minorHAnsi"/>
          <w:lang w:eastAsia="en-GB"/>
        </w:rPr>
        <w:t xml:space="preserve">. </w:t>
      </w:r>
      <w:r w:rsidR="00B2491E" w:rsidRPr="00703E0C">
        <w:rPr>
          <w:rFonts w:eastAsia="Times New Roman" w:cstheme="minorHAnsi"/>
          <w:lang w:eastAsia="en-GB"/>
        </w:rPr>
        <w:t>However, n</w:t>
      </w:r>
      <w:r w:rsidR="003E15DF" w:rsidRPr="00703E0C">
        <w:rPr>
          <w:rFonts w:eastAsia="Times New Roman" w:cstheme="minorHAnsi"/>
          <w:lang w:eastAsia="en-GB"/>
        </w:rPr>
        <w:t xml:space="preserve">umerous </w:t>
      </w:r>
      <w:r w:rsidR="00703E0C">
        <w:rPr>
          <w:rFonts w:eastAsia="Times New Roman" w:cstheme="minorHAnsi"/>
          <w:lang w:eastAsia="en-GB"/>
        </w:rPr>
        <w:t xml:space="preserve">media </w:t>
      </w:r>
      <w:r w:rsidR="003E15DF" w:rsidRPr="00703E0C">
        <w:rPr>
          <w:rFonts w:eastAsia="Times New Roman" w:cstheme="minorHAnsi"/>
          <w:lang w:eastAsia="en-GB"/>
        </w:rPr>
        <w:t>stories quot</w:t>
      </w:r>
      <w:r w:rsidR="00703E0C">
        <w:rPr>
          <w:rFonts w:eastAsia="Times New Roman" w:cstheme="minorHAnsi"/>
          <w:lang w:eastAsia="en-GB"/>
        </w:rPr>
        <w:t>ing</w:t>
      </w:r>
      <w:r w:rsidR="003E15DF" w:rsidRPr="00703E0C">
        <w:rPr>
          <w:rFonts w:eastAsia="Times New Roman" w:cstheme="minorHAnsi"/>
          <w:lang w:eastAsia="en-GB"/>
        </w:rPr>
        <w:t xml:space="preserve"> </w:t>
      </w:r>
      <w:r w:rsidR="00703E0C">
        <w:rPr>
          <w:rFonts w:eastAsia="Times New Roman" w:cstheme="minorHAnsi"/>
          <w:lang w:eastAsia="en-GB"/>
        </w:rPr>
        <w:t xml:space="preserve">Kiama </w:t>
      </w:r>
      <w:r w:rsidR="003E15DF" w:rsidRPr="00703E0C">
        <w:rPr>
          <w:rFonts w:eastAsia="Times New Roman" w:cstheme="minorHAnsi"/>
          <w:lang w:eastAsia="en-GB"/>
        </w:rPr>
        <w:t xml:space="preserve">councillors and CEO </w:t>
      </w:r>
      <w:r w:rsidR="00703E0C">
        <w:rPr>
          <w:rFonts w:eastAsia="Times New Roman" w:cstheme="minorHAnsi"/>
          <w:lang w:eastAsia="en-GB"/>
        </w:rPr>
        <w:t xml:space="preserve">have </w:t>
      </w:r>
      <w:r w:rsidR="003E15DF" w:rsidRPr="00703E0C">
        <w:rPr>
          <w:rFonts w:eastAsia="Times New Roman" w:cstheme="minorHAnsi"/>
          <w:lang w:eastAsia="en-GB"/>
        </w:rPr>
        <w:t>paint</w:t>
      </w:r>
      <w:r w:rsidR="00703E0C">
        <w:rPr>
          <w:rFonts w:eastAsia="Times New Roman" w:cstheme="minorHAnsi"/>
          <w:lang w:eastAsia="en-GB"/>
        </w:rPr>
        <w:t>ed</w:t>
      </w:r>
      <w:r w:rsidR="003E15DF" w:rsidRPr="00703E0C">
        <w:rPr>
          <w:rFonts w:eastAsia="Times New Roman" w:cstheme="minorHAnsi"/>
          <w:lang w:eastAsia="en-GB"/>
        </w:rPr>
        <w:t xml:space="preserve"> a bleak picture of Blue Haven</w:t>
      </w:r>
      <w:r w:rsidR="00350146" w:rsidRPr="00703E0C">
        <w:rPr>
          <w:rFonts w:eastAsia="Times New Roman" w:cstheme="minorHAnsi"/>
          <w:lang w:eastAsia="en-GB"/>
        </w:rPr>
        <w:t xml:space="preserve">’s </w:t>
      </w:r>
      <w:r w:rsidR="00703E0C">
        <w:rPr>
          <w:rFonts w:eastAsia="Times New Roman" w:cstheme="minorHAnsi"/>
          <w:lang w:eastAsia="en-GB"/>
        </w:rPr>
        <w:t>operations in the past 12 months</w:t>
      </w:r>
      <w:r w:rsidR="00B2491E" w:rsidRPr="00703E0C">
        <w:rPr>
          <w:rFonts w:eastAsia="Times New Roman" w:cstheme="minorHAnsi"/>
          <w:lang w:eastAsia="en-GB"/>
        </w:rPr>
        <w:t xml:space="preserve">, </w:t>
      </w:r>
      <w:r w:rsidR="0043530A" w:rsidRPr="00703E0C">
        <w:rPr>
          <w:rFonts w:eastAsia="Times New Roman" w:cstheme="minorHAnsi"/>
          <w:lang w:eastAsia="en-GB"/>
        </w:rPr>
        <w:t>soiling</w:t>
      </w:r>
      <w:r w:rsidR="00B2491E" w:rsidRPr="00703E0C">
        <w:rPr>
          <w:rFonts w:eastAsia="Times New Roman" w:cstheme="minorHAnsi"/>
          <w:lang w:eastAsia="en-GB"/>
        </w:rPr>
        <w:t xml:space="preserve"> this reputation</w:t>
      </w:r>
      <w:r w:rsidR="00121D07">
        <w:rPr>
          <w:rFonts w:eastAsia="Times New Roman" w:cstheme="minorHAnsi"/>
          <w:lang w:eastAsia="en-GB"/>
        </w:rPr>
        <w:t xml:space="preserve">. </w:t>
      </w:r>
    </w:p>
    <w:p w14:paraId="1C0B07FF" w14:textId="47479488" w:rsidR="009A0F58" w:rsidRPr="0039547A" w:rsidRDefault="00E507FF" w:rsidP="0027311C">
      <w:pPr>
        <w:spacing w:after="120"/>
        <w:ind w:left="720"/>
        <w:jc w:val="both"/>
        <w:outlineLvl w:val="2"/>
        <w:rPr>
          <w:rFonts w:eastAsia="Times New Roman" w:cstheme="minorHAnsi"/>
          <w:sz w:val="20"/>
          <w:szCs w:val="20"/>
          <w:lang w:eastAsia="en-GB"/>
        </w:rPr>
      </w:pPr>
      <w:r w:rsidRPr="0039547A">
        <w:rPr>
          <w:rFonts w:eastAsia="Times New Roman" w:cstheme="minorHAnsi"/>
          <w:sz w:val="20"/>
          <w:szCs w:val="20"/>
          <w:lang w:eastAsia="en-GB"/>
        </w:rPr>
        <w:t>Illawarra Mercury</w:t>
      </w:r>
      <w:r w:rsidR="00DF65B6" w:rsidRPr="0039547A">
        <w:rPr>
          <w:rFonts w:eastAsia="Times New Roman" w:cstheme="minorHAnsi"/>
          <w:sz w:val="20"/>
          <w:szCs w:val="20"/>
          <w:lang w:eastAsia="en-GB"/>
        </w:rPr>
        <w:t xml:space="preserve"> </w:t>
      </w:r>
      <w:r w:rsidR="006F38AD" w:rsidRPr="0039547A">
        <w:rPr>
          <w:rFonts w:eastAsia="Times New Roman" w:cstheme="minorHAnsi"/>
          <w:sz w:val="20"/>
          <w:szCs w:val="20"/>
          <w:lang w:eastAsia="en-GB"/>
        </w:rPr>
        <w:t>Sept 22</w:t>
      </w:r>
      <w:proofErr w:type="gramStart"/>
      <w:r w:rsidR="006F38AD" w:rsidRPr="0039547A">
        <w:rPr>
          <w:rFonts w:eastAsia="Times New Roman" w:cstheme="minorHAnsi"/>
          <w:sz w:val="20"/>
          <w:szCs w:val="20"/>
          <w:lang w:eastAsia="en-GB"/>
        </w:rPr>
        <w:t xml:space="preserve"> 2022</w:t>
      </w:r>
      <w:proofErr w:type="gramEnd"/>
      <w:r w:rsidR="006F38AD" w:rsidRPr="0039547A">
        <w:rPr>
          <w:rFonts w:eastAsia="Times New Roman" w:cstheme="minorHAnsi"/>
          <w:sz w:val="20"/>
          <w:szCs w:val="20"/>
          <w:lang w:eastAsia="en-GB"/>
        </w:rPr>
        <w:t xml:space="preserve"> </w:t>
      </w:r>
      <w:r w:rsidR="00454D07" w:rsidRPr="0039547A">
        <w:rPr>
          <w:rFonts w:eastAsia="Times New Roman" w:cstheme="minorHAnsi"/>
          <w:i/>
          <w:iCs/>
          <w:sz w:val="20"/>
          <w:szCs w:val="20"/>
          <w:lang w:eastAsia="en-GB"/>
        </w:rPr>
        <w:t>Blue Haven aged car loses half a million dollars in a month</w:t>
      </w:r>
      <w:r w:rsidR="005C5CA5" w:rsidRPr="0039547A">
        <w:rPr>
          <w:rFonts w:eastAsia="Times New Roman" w:cstheme="minorHAnsi"/>
          <w:sz w:val="20"/>
          <w:szCs w:val="20"/>
          <w:lang w:eastAsia="en-GB"/>
        </w:rPr>
        <w:t xml:space="preserve"> </w:t>
      </w:r>
    </w:p>
    <w:p w14:paraId="133ECE1C" w14:textId="5D7044D9" w:rsidR="009A6307" w:rsidRPr="0027311C" w:rsidRDefault="005C5CA5" w:rsidP="0027311C">
      <w:pPr>
        <w:spacing w:after="240"/>
        <w:ind w:left="720"/>
        <w:jc w:val="both"/>
        <w:outlineLvl w:val="2"/>
        <w:rPr>
          <w:rFonts w:cstheme="minorHAnsi"/>
          <w:sz w:val="20"/>
          <w:szCs w:val="20"/>
        </w:rPr>
      </w:pPr>
      <w:r w:rsidRPr="0039547A">
        <w:rPr>
          <w:rFonts w:cstheme="minorHAnsi"/>
          <w:sz w:val="20"/>
          <w:szCs w:val="20"/>
        </w:rPr>
        <w:t>"The accounting figures don't lie," Kiama Mayor Neil Reilly said. "We've known for a time that this is the circumstance. It's a great concern considering we're under financial stress and we've often considered where it might come from - and I think that Blue Haven is the answer."</w:t>
      </w:r>
    </w:p>
    <w:p w14:paraId="5F433182" w14:textId="49C33166" w:rsidR="006F38AD" w:rsidRPr="0039547A" w:rsidRDefault="006F38AD" w:rsidP="0027311C">
      <w:pPr>
        <w:spacing w:after="120"/>
        <w:ind w:left="720"/>
        <w:jc w:val="both"/>
        <w:outlineLvl w:val="2"/>
        <w:rPr>
          <w:rFonts w:cstheme="minorHAnsi"/>
          <w:color w:val="1F2937"/>
          <w:sz w:val="20"/>
          <w:szCs w:val="20"/>
          <w:shd w:val="clear" w:color="auto" w:fill="FFFFFF"/>
        </w:rPr>
      </w:pPr>
      <w:r w:rsidRPr="0039547A">
        <w:rPr>
          <w:rFonts w:eastAsia="Times New Roman" w:cstheme="minorHAnsi"/>
          <w:sz w:val="20"/>
          <w:szCs w:val="20"/>
          <w:lang w:eastAsia="en-GB"/>
        </w:rPr>
        <w:t xml:space="preserve">Illawarra Mercury 13 October 2022 </w:t>
      </w:r>
      <w:r w:rsidRPr="0039547A">
        <w:rPr>
          <w:rFonts w:cstheme="minorHAnsi"/>
          <w:i/>
          <w:iCs/>
          <w:sz w:val="20"/>
          <w:szCs w:val="20"/>
        </w:rPr>
        <w:t>Blue Haven sale to be voted on by Kiama</w:t>
      </w:r>
      <w:r w:rsidRPr="0039547A">
        <w:rPr>
          <w:rFonts w:cstheme="minorHAnsi"/>
          <w:sz w:val="20"/>
          <w:szCs w:val="20"/>
        </w:rPr>
        <w:t xml:space="preserve"> </w:t>
      </w:r>
      <w:proofErr w:type="gramStart"/>
      <w:r w:rsidRPr="0039547A">
        <w:rPr>
          <w:rFonts w:cstheme="minorHAnsi"/>
          <w:sz w:val="20"/>
          <w:szCs w:val="20"/>
        </w:rPr>
        <w:t>councillors</w:t>
      </w:r>
      <w:proofErr w:type="gramEnd"/>
      <w:r w:rsidRPr="0039547A">
        <w:rPr>
          <w:rFonts w:cstheme="minorHAnsi"/>
          <w:color w:val="1F2937"/>
          <w:sz w:val="20"/>
          <w:szCs w:val="20"/>
          <w:shd w:val="clear" w:color="auto" w:fill="FFFFFF"/>
        </w:rPr>
        <w:t xml:space="preserve"> </w:t>
      </w:r>
    </w:p>
    <w:p w14:paraId="625DA620" w14:textId="7BDA6F1C" w:rsidR="00107F68" w:rsidRPr="0039547A" w:rsidRDefault="00F82FAF" w:rsidP="0027311C">
      <w:pPr>
        <w:spacing w:after="240"/>
        <w:ind w:left="720"/>
        <w:jc w:val="both"/>
        <w:outlineLvl w:val="2"/>
        <w:rPr>
          <w:rFonts w:cstheme="minorHAnsi"/>
          <w:color w:val="1F2937"/>
          <w:sz w:val="20"/>
          <w:szCs w:val="20"/>
          <w:shd w:val="clear" w:color="auto" w:fill="FFFFFF"/>
        </w:rPr>
      </w:pPr>
      <w:r w:rsidRPr="0039547A">
        <w:rPr>
          <w:rFonts w:cstheme="minorHAnsi"/>
          <w:color w:val="1F2937"/>
          <w:sz w:val="20"/>
          <w:szCs w:val="20"/>
          <w:shd w:val="clear" w:color="auto" w:fill="FFFFFF"/>
        </w:rPr>
        <w:t xml:space="preserve">In a response to the motion, Kiama Council's chief executive officer Jane Stroud conceded that Blue Haven residents were concerned, but something needed to be done. </w:t>
      </w:r>
      <w:r w:rsidR="00107F68" w:rsidRPr="0039547A">
        <w:rPr>
          <w:rFonts w:cstheme="minorHAnsi"/>
          <w:color w:val="1F2937"/>
          <w:sz w:val="20"/>
          <w:szCs w:val="20"/>
          <w:shd w:val="clear" w:color="auto" w:fill="FFFFFF"/>
        </w:rPr>
        <w:t>"Council is running two businesses, aged care and local government services, and simply does not have sufficient working capital or operational funds. Significant divestment of assets, business efficiencies and improved revenue must be realised.</w:t>
      </w:r>
      <w:r w:rsidR="003E15DF" w:rsidRPr="0039547A">
        <w:rPr>
          <w:rFonts w:cstheme="minorHAnsi"/>
          <w:color w:val="1F2937"/>
          <w:sz w:val="20"/>
          <w:szCs w:val="20"/>
          <w:shd w:val="clear" w:color="auto" w:fill="FFFFFF"/>
        </w:rPr>
        <w:t>”</w:t>
      </w:r>
    </w:p>
    <w:p w14:paraId="2CEA5F19" w14:textId="0212D8E7" w:rsidR="00FA5E79" w:rsidRPr="0039547A" w:rsidRDefault="003447C0" w:rsidP="0027311C">
      <w:pPr>
        <w:spacing w:after="120"/>
        <w:ind w:left="720"/>
        <w:jc w:val="both"/>
        <w:outlineLvl w:val="2"/>
        <w:rPr>
          <w:rFonts w:cstheme="minorHAnsi"/>
          <w:sz w:val="20"/>
          <w:szCs w:val="20"/>
        </w:rPr>
      </w:pPr>
      <w:r w:rsidRPr="0039547A">
        <w:rPr>
          <w:rFonts w:cstheme="minorHAnsi"/>
          <w:color w:val="1F2937"/>
          <w:sz w:val="20"/>
          <w:szCs w:val="20"/>
          <w:shd w:val="clear" w:color="auto" w:fill="FFFFFF"/>
        </w:rPr>
        <w:t xml:space="preserve">Illawarra Mercury </w:t>
      </w:r>
      <w:r w:rsidR="006B04F7" w:rsidRPr="0039547A">
        <w:rPr>
          <w:rFonts w:cstheme="minorHAnsi"/>
          <w:sz w:val="20"/>
          <w:szCs w:val="20"/>
        </w:rPr>
        <w:t xml:space="preserve">14 October </w:t>
      </w:r>
      <w:proofErr w:type="gramStart"/>
      <w:r w:rsidR="006B04F7" w:rsidRPr="0039547A">
        <w:rPr>
          <w:rFonts w:cstheme="minorHAnsi"/>
          <w:sz w:val="20"/>
          <w:szCs w:val="20"/>
        </w:rPr>
        <w:t xml:space="preserve">2022 </w:t>
      </w:r>
      <w:r w:rsidRPr="0039547A">
        <w:rPr>
          <w:rFonts w:cstheme="minorHAnsi"/>
          <w:color w:val="1F2937"/>
          <w:sz w:val="20"/>
          <w:szCs w:val="20"/>
          <w:shd w:val="clear" w:color="auto" w:fill="FFFFFF"/>
        </w:rPr>
        <w:t xml:space="preserve"> </w:t>
      </w:r>
      <w:r w:rsidRPr="0039547A">
        <w:rPr>
          <w:rFonts w:cstheme="minorHAnsi"/>
          <w:i/>
          <w:iCs/>
          <w:sz w:val="20"/>
          <w:szCs w:val="20"/>
        </w:rPr>
        <w:t>Early</w:t>
      </w:r>
      <w:proofErr w:type="gramEnd"/>
      <w:r w:rsidRPr="0039547A">
        <w:rPr>
          <w:rFonts w:cstheme="minorHAnsi"/>
          <w:i/>
          <w:iCs/>
          <w:sz w:val="20"/>
          <w:szCs w:val="20"/>
        </w:rPr>
        <w:t xml:space="preserve"> interest in Blue Haven after Kiama council's sale decision</w:t>
      </w:r>
      <w:r w:rsidR="009F7F32" w:rsidRPr="0039547A">
        <w:rPr>
          <w:rFonts w:cstheme="minorHAnsi"/>
          <w:sz w:val="20"/>
          <w:szCs w:val="20"/>
        </w:rPr>
        <w:t xml:space="preserve"> </w:t>
      </w:r>
    </w:p>
    <w:p w14:paraId="0CF1CDB7" w14:textId="05AB3DB6" w:rsidR="009F7F32" w:rsidRPr="0039547A" w:rsidRDefault="00FA5E79" w:rsidP="0027311C">
      <w:pPr>
        <w:spacing w:after="240"/>
        <w:ind w:left="720"/>
        <w:jc w:val="both"/>
        <w:outlineLvl w:val="2"/>
        <w:rPr>
          <w:rFonts w:cstheme="minorHAnsi"/>
          <w:sz w:val="20"/>
          <w:szCs w:val="20"/>
        </w:rPr>
      </w:pPr>
      <w:r w:rsidRPr="0039547A">
        <w:rPr>
          <w:rFonts w:cstheme="minorHAnsi"/>
          <w:sz w:val="20"/>
          <w:szCs w:val="20"/>
        </w:rPr>
        <w:t>"Everyone else in the community is missing out because all we ever do is talk about Blue Haven," Cr Matt Brown said "I've added it up and we've had 30-plus reports [on Blue Haven] given to us. Thirty-plus reports and some councillors still don't think they can make a decision on our finances."</w:t>
      </w:r>
    </w:p>
    <w:p w14:paraId="2E4489FD" w14:textId="0EFF800A" w:rsidR="0039547A" w:rsidRPr="0039547A" w:rsidRDefault="0039547A" w:rsidP="0027311C">
      <w:pPr>
        <w:spacing w:after="120"/>
        <w:ind w:left="720"/>
        <w:jc w:val="both"/>
        <w:outlineLvl w:val="2"/>
        <w:rPr>
          <w:rFonts w:cstheme="minorHAnsi"/>
          <w:b/>
          <w:bCs/>
          <w:color w:val="1F2937"/>
          <w:sz w:val="20"/>
          <w:szCs w:val="20"/>
          <w:shd w:val="clear" w:color="auto" w:fill="FFFFFF"/>
        </w:rPr>
      </w:pPr>
      <w:r w:rsidRPr="0039547A">
        <w:rPr>
          <w:rFonts w:cstheme="minorHAnsi"/>
          <w:color w:val="1F2937"/>
          <w:sz w:val="20"/>
          <w:szCs w:val="20"/>
          <w:shd w:val="clear" w:color="auto" w:fill="FFFFFF"/>
        </w:rPr>
        <w:t xml:space="preserve">Illawarra Mercury 28 February 2023 </w:t>
      </w:r>
      <w:r w:rsidRPr="0039547A">
        <w:rPr>
          <w:rFonts w:cstheme="minorHAnsi"/>
          <w:i/>
          <w:iCs/>
          <w:color w:val="1F2937"/>
          <w:sz w:val="20"/>
          <w:szCs w:val="20"/>
          <w:shd w:val="clear" w:color="auto" w:fill="FFFFFF"/>
        </w:rPr>
        <w:t xml:space="preserve">Blue Haven sell-off stopped in feisty Kiama council </w:t>
      </w:r>
      <w:proofErr w:type="gramStart"/>
      <w:r w:rsidRPr="0039547A">
        <w:rPr>
          <w:rFonts w:cstheme="minorHAnsi"/>
          <w:i/>
          <w:iCs/>
          <w:color w:val="1F2937"/>
          <w:sz w:val="20"/>
          <w:szCs w:val="20"/>
          <w:shd w:val="clear" w:color="auto" w:fill="FFFFFF"/>
        </w:rPr>
        <w:t>meeting</w:t>
      </w:r>
      <w:proofErr w:type="gramEnd"/>
    </w:p>
    <w:p w14:paraId="5D862BDE" w14:textId="1CBBAC9C" w:rsidR="0039547A" w:rsidRPr="0027311C" w:rsidRDefault="0039547A" w:rsidP="0027311C">
      <w:pPr>
        <w:spacing w:after="120"/>
        <w:ind w:left="720"/>
        <w:jc w:val="both"/>
        <w:outlineLvl w:val="2"/>
        <w:rPr>
          <w:rFonts w:cstheme="minorHAnsi"/>
          <w:color w:val="1F2937"/>
          <w:sz w:val="20"/>
          <w:szCs w:val="20"/>
          <w:shd w:val="clear" w:color="auto" w:fill="FFFFFF"/>
        </w:rPr>
      </w:pPr>
      <w:r w:rsidRPr="0039547A">
        <w:rPr>
          <w:rFonts w:cstheme="minorHAnsi"/>
          <w:color w:val="1F2937"/>
          <w:sz w:val="20"/>
          <w:szCs w:val="20"/>
          <w:shd w:val="clear" w:color="auto" w:fill="FFFFFF"/>
        </w:rPr>
        <w:t xml:space="preserve">Cr Reilly responded by suggesting some councillors had "pressure" put on them via party politics and noting that retaining </w:t>
      </w:r>
      <w:proofErr w:type="spellStart"/>
      <w:r w:rsidRPr="0039547A">
        <w:rPr>
          <w:rFonts w:cstheme="minorHAnsi"/>
          <w:color w:val="1F2937"/>
          <w:sz w:val="20"/>
          <w:szCs w:val="20"/>
          <w:shd w:val="clear" w:color="auto" w:fill="FFFFFF"/>
        </w:rPr>
        <w:t>Terralong</w:t>
      </w:r>
      <w:proofErr w:type="spellEnd"/>
      <w:r w:rsidRPr="0039547A">
        <w:rPr>
          <w:rFonts w:cstheme="minorHAnsi"/>
          <w:color w:val="1F2937"/>
          <w:sz w:val="20"/>
          <w:szCs w:val="20"/>
          <w:shd w:val="clear" w:color="auto" w:fill="FFFFFF"/>
        </w:rPr>
        <w:t xml:space="preserve"> would be financially disastrous for council - and would see reduced community services.</w:t>
      </w:r>
      <w:r w:rsidR="0027311C">
        <w:rPr>
          <w:rFonts w:cstheme="minorHAnsi"/>
          <w:color w:val="1F2937"/>
          <w:sz w:val="20"/>
          <w:szCs w:val="20"/>
          <w:shd w:val="clear" w:color="auto" w:fill="FFFFFF"/>
        </w:rPr>
        <w:t xml:space="preserve"> </w:t>
      </w:r>
      <w:r w:rsidRPr="0039547A">
        <w:rPr>
          <w:rFonts w:cstheme="minorHAnsi"/>
          <w:color w:val="1F2937"/>
          <w:sz w:val="20"/>
          <w:szCs w:val="20"/>
          <w:shd w:val="clear" w:color="auto" w:fill="FFFFFF"/>
        </w:rPr>
        <w:t>"You think that is not possible," Cr Reilly said. "You wait - if this amendment goes through it won't be very long before an administrator is appointed."</w:t>
      </w:r>
    </w:p>
    <w:p w14:paraId="4340BF5A" w14:textId="06BAE723" w:rsidR="009B6004" w:rsidRDefault="0039547A" w:rsidP="0027311C">
      <w:pPr>
        <w:spacing w:after="240"/>
        <w:jc w:val="both"/>
        <w:outlineLvl w:val="2"/>
        <w:rPr>
          <w:rFonts w:cstheme="minorHAnsi"/>
          <w:color w:val="000000"/>
        </w:rPr>
      </w:pPr>
      <w:r w:rsidRPr="0039547A">
        <w:rPr>
          <w:rFonts w:cstheme="minorHAnsi"/>
        </w:rPr>
        <w:t xml:space="preserve">Finally, </w:t>
      </w:r>
      <w:r>
        <w:rPr>
          <w:rFonts w:cstheme="minorHAnsi"/>
        </w:rPr>
        <w:t xml:space="preserve">if divested, is it likely that </w:t>
      </w:r>
      <w:r w:rsidR="00300D28" w:rsidRPr="0039547A">
        <w:rPr>
          <w:rFonts w:cstheme="minorHAnsi"/>
        </w:rPr>
        <w:t>Kiam</w:t>
      </w:r>
      <w:r w:rsidR="003066A7" w:rsidRPr="00703E0C">
        <w:rPr>
          <w:rFonts w:cstheme="minorHAnsi"/>
        </w:rPr>
        <w:t>a</w:t>
      </w:r>
      <w:r w:rsidR="00300D28" w:rsidRPr="00703E0C">
        <w:rPr>
          <w:rFonts w:cstheme="minorHAnsi"/>
        </w:rPr>
        <w:t xml:space="preserve"> Council </w:t>
      </w:r>
      <w:r w:rsidR="0027311C">
        <w:rPr>
          <w:rFonts w:cstheme="minorHAnsi"/>
        </w:rPr>
        <w:t xml:space="preserve">will </w:t>
      </w:r>
      <w:r w:rsidR="00703E0C">
        <w:rPr>
          <w:rFonts w:cstheme="minorHAnsi"/>
        </w:rPr>
        <w:t xml:space="preserve">receive a </w:t>
      </w:r>
      <w:r w:rsidR="00300D28" w:rsidRPr="00703E0C">
        <w:rPr>
          <w:rFonts w:cstheme="minorHAnsi"/>
        </w:rPr>
        <w:t>fair price for Blue Haven?</w:t>
      </w:r>
      <w:r w:rsidR="003066A7" w:rsidRPr="00703E0C">
        <w:rPr>
          <w:rFonts w:cstheme="minorHAnsi"/>
        </w:rPr>
        <w:t xml:space="preserve"> Two factors </w:t>
      </w:r>
      <w:r w:rsidR="0007543A">
        <w:rPr>
          <w:rFonts w:cstheme="minorHAnsi"/>
        </w:rPr>
        <w:t xml:space="preserve">are </w:t>
      </w:r>
      <w:r w:rsidR="003066A7" w:rsidRPr="00703E0C">
        <w:rPr>
          <w:rFonts w:cstheme="minorHAnsi"/>
        </w:rPr>
        <w:t>against this</w:t>
      </w:r>
      <w:r w:rsidR="0007543A">
        <w:rPr>
          <w:rFonts w:cstheme="minorHAnsi"/>
        </w:rPr>
        <w:t xml:space="preserve">. First, </w:t>
      </w:r>
      <w:r w:rsidR="00AC7991">
        <w:rPr>
          <w:rFonts w:cstheme="minorHAnsi"/>
        </w:rPr>
        <w:t xml:space="preserve">the </w:t>
      </w:r>
      <w:r w:rsidR="0007543A">
        <w:rPr>
          <w:rFonts w:cstheme="minorHAnsi"/>
        </w:rPr>
        <w:t>real estate</w:t>
      </w:r>
      <w:r w:rsidR="00AC7991">
        <w:rPr>
          <w:rFonts w:cstheme="minorHAnsi"/>
        </w:rPr>
        <w:t xml:space="preserve"> market is now in a downturn. From that perspective it is not a good time to sell. Second, it is probable that councillors’ public </w:t>
      </w:r>
      <w:r w:rsidR="00AC7991">
        <w:rPr>
          <w:rFonts w:cstheme="minorHAnsi"/>
        </w:rPr>
        <w:lastRenderedPageBreak/>
        <w:t xml:space="preserve">comments have hindered the process. To use an analogy, </w:t>
      </w:r>
      <w:r w:rsidR="0007543A">
        <w:rPr>
          <w:rFonts w:cstheme="minorHAnsi"/>
        </w:rPr>
        <w:t xml:space="preserve">what </w:t>
      </w:r>
      <w:r w:rsidR="00AC7991">
        <w:rPr>
          <w:rFonts w:cstheme="minorHAnsi"/>
        </w:rPr>
        <w:t xml:space="preserve">CEO or chairperson of a business board </w:t>
      </w:r>
      <w:r w:rsidR="0027311C">
        <w:rPr>
          <w:rFonts w:cstheme="minorHAnsi"/>
        </w:rPr>
        <w:t xml:space="preserve">that has grown successfully over 40+ years </w:t>
      </w:r>
      <w:r w:rsidR="00AC7991">
        <w:rPr>
          <w:rFonts w:cstheme="minorHAnsi"/>
        </w:rPr>
        <w:t xml:space="preserve">would </w:t>
      </w:r>
      <w:r w:rsidR="0007543A">
        <w:rPr>
          <w:rFonts w:cstheme="minorHAnsi"/>
        </w:rPr>
        <w:t xml:space="preserve">publicly </w:t>
      </w:r>
      <w:r w:rsidR="00AC7991">
        <w:rPr>
          <w:rFonts w:cstheme="minorHAnsi"/>
        </w:rPr>
        <w:t xml:space="preserve">discredit their </w:t>
      </w:r>
      <w:r w:rsidR="0007543A">
        <w:rPr>
          <w:rFonts w:cstheme="minorHAnsi"/>
        </w:rPr>
        <w:t>business</w:t>
      </w:r>
      <w:r w:rsidR="00AC7991">
        <w:rPr>
          <w:rFonts w:cstheme="minorHAnsi"/>
        </w:rPr>
        <w:t xml:space="preserve"> model, admit that they were out of their depth in the</w:t>
      </w:r>
      <w:r w:rsidR="0027311C">
        <w:rPr>
          <w:rFonts w:cstheme="minorHAnsi"/>
        </w:rPr>
        <w:t>ir</w:t>
      </w:r>
      <w:r w:rsidR="00AC7991">
        <w:rPr>
          <w:rFonts w:cstheme="minorHAnsi"/>
        </w:rPr>
        <w:t xml:space="preserve"> industry, emphasise that </w:t>
      </w:r>
      <w:r w:rsidR="0007543A">
        <w:rPr>
          <w:rFonts w:cstheme="minorHAnsi"/>
        </w:rPr>
        <w:t>the</w:t>
      </w:r>
      <w:r w:rsidR="00AC7991">
        <w:rPr>
          <w:rFonts w:cstheme="minorHAnsi"/>
        </w:rPr>
        <w:t>ir</w:t>
      </w:r>
      <w:r w:rsidR="0007543A">
        <w:rPr>
          <w:rFonts w:cstheme="minorHAnsi"/>
        </w:rPr>
        <w:t xml:space="preserve"> motive is to bail the</w:t>
      </w:r>
      <w:r w:rsidR="00AC7991">
        <w:rPr>
          <w:rFonts w:cstheme="minorHAnsi"/>
        </w:rPr>
        <w:t xml:space="preserve"> company out of </w:t>
      </w:r>
      <w:r w:rsidR="0007543A">
        <w:rPr>
          <w:rFonts w:cstheme="minorHAnsi"/>
        </w:rPr>
        <w:t xml:space="preserve">a financial hole, and expect </w:t>
      </w:r>
      <w:r w:rsidR="00AC7991">
        <w:rPr>
          <w:rFonts w:cstheme="minorHAnsi"/>
        </w:rPr>
        <w:t>t</w:t>
      </w:r>
      <w:r w:rsidR="0007543A">
        <w:rPr>
          <w:rFonts w:cstheme="minorHAnsi"/>
        </w:rPr>
        <w:t xml:space="preserve">o </w:t>
      </w:r>
      <w:r w:rsidR="00AC7991">
        <w:rPr>
          <w:rFonts w:cstheme="minorHAnsi"/>
        </w:rPr>
        <w:t>receive a decent price from the sale of their business to competitors?</w:t>
      </w:r>
      <w:r w:rsidR="0007543A">
        <w:rPr>
          <w:rFonts w:cstheme="minorHAnsi"/>
        </w:rPr>
        <w:t xml:space="preserve"> </w:t>
      </w:r>
      <w:r w:rsidR="00836C5F">
        <w:rPr>
          <w:rFonts w:cstheme="minorHAnsi"/>
        </w:rPr>
        <w:t xml:space="preserve">Logic </w:t>
      </w:r>
      <w:r w:rsidR="00AC7991">
        <w:rPr>
          <w:rFonts w:cstheme="minorHAnsi"/>
        </w:rPr>
        <w:t xml:space="preserve">as well as research referred to above </w:t>
      </w:r>
      <w:r w:rsidR="00836C5F">
        <w:rPr>
          <w:rFonts w:cstheme="minorHAnsi"/>
        </w:rPr>
        <w:t xml:space="preserve">would suggest that a </w:t>
      </w:r>
      <w:r w:rsidR="00AC7991">
        <w:rPr>
          <w:rFonts w:cstheme="minorHAnsi"/>
        </w:rPr>
        <w:t xml:space="preserve">for-profit or not-for- profit </w:t>
      </w:r>
      <w:r w:rsidR="00836C5F">
        <w:rPr>
          <w:rFonts w:cstheme="minorHAnsi"/>
        </w:rPr>
        <w:t xml:space="preserve">purchaser buying a loss making asset will </w:t>
      </w:r>
      <w:r w:rsidR="00AC7991">
        <w:rPr>
          <w:rFonts w:cstheme="minorHAnsi"/>
        </w:rPr>
        <w:t xml:space="preserve">either implement widespread </w:t>
      </w:r>
      <w:r w:rsidR="00DB1EF9" w:rsidRPr="00AC7991">
        <w:rPr>
          <w:rFonts w:cstheme="minorHAnsi"/>
        </w:rPr>
        <w:t>cost</w:t>
      </w:r>
      <w:r w:rsidR="00AC7991">
        <w:rPr>
          <w:rFonts w:cstheme="minorHAnsi"/>
        </w:rPr>
        <w:t xml:space="preserve"> cuts</w:t>
      </w:r>
      <w:r w:rsidR="00DB1EF9" w:rsidRPr="00AC7991">
        <w:rPr>
          <w:rFonts w:cstheme="minorHAnsi"/>
        </w:rPr>
        <w:t xml:space="preserve"> </w:t>
      </w:r>
      <w:r w:rsidR="00AC7991">
        <w:rPr>
          <w:rFonts w:cstheme="minorHAnsi"/>
        </w:rPr>
        <w:t>and thereby reduce the</w:t>
      </w:r>
      <w:r w:rsidR="00D67E48" w:rsidRPr="00AC7991">
        <w:rPr>
          <w:rFonts w:cstheme="minorHAnsi"/>
        </w:rPr>
        <w:t xml:space="preserve"> quality </w:t>
      </w:r>
      <w:r w:rsidR="00AC7991">
        <w:rPr>
          <w:rFonts w:cstheme="minorHAnsi"/>
        </w:rPr>
        <w:t xml:space="preserve">of care </w:t>
      </w:r>
      <w:r w:rsidR="00D67E48" w:rsidRPr="00AC7991">
        <w:rPr>
          <w:rFonts w:cstheme="minorHAnsi"/>
        </w:rPr>
        <w:t>for current residents</w:t>
      </w:r>
      <w:r w:rsidR="00AC7991">
        <w:rPr>
          <w:rFonts w:cstheme="minorHAnsi"/>
        </w:rPr>
        <w:t xml:space="preserve"> and / or increase prices, potentially pricing locals out of the facility on the future if they </w:t>
      </w:r>
      <w:r w:rsidR="00CA156A">
        <w:rPr>
          <w:rFonts w:cstheme="minorHAnsi"/>
        </w:rPr>
        <w:t>rebrand it to a platinum seaside, and / or repurpose the land to other profit making activities</w:t>
      </w:r>
      <w:r w:rsidR="00D67E48" w:rsidRPr="00AC7991">
        <w:rPr>
          <w:rFonts w:cstheme="minorHAnsi"/>
        </w:rPr>
        <w:t>.</w:t>
      </w:r>
    </w:p>
    <w:p w14:paraId="7A40CA0D" w14:textId="49F5FB41" w:rsidR="009B6004" w:rsidRPr="00CA156A" w:rsidRDefault="00CA156A" w:rsidP="00CA156A">
      <w:pPr>
        <w:outlineLvl w:val="2"/>
        <w:rPr>
          <w:rFonts w:cstheme="minorHAnsi"/>
          <w:b/>
          <w:bCs/>
          <w:color w:val="000000"/>
        </w:rPr>
      </w:pPr>
      <w:r w:rsidRPr="00CA156A">
        <w:rPr>
          <w:rFonts w:cstheme="minorHAnsi"/>
          <w:b/>
          <w:bCs/>
          <w:color w:val="000000"/>
        </w:rPr>
        <w:t>References</w:t>
      </w:r>
    </w:p>
    <w:p w14:paraId="2C0FC1F0" w14:textId="66F37A82" w:rsidR="009B6004" w:rsidRDefault="009B6004" w:rsidP="00CA156A">
      <w:pPr>
        <w:ind w:left="426" w:hanging="426"/>
        <w:outlineLvl w:val="2"/>
        <w:rPr>
          <w:rFonts w:cstheme="minorHAnsi"/>
          <w:color w:val="000000"/>
        </w:rPr>
      </w:pPr>
      <w:r>
        <w:rPr>
          <w:rFonts w:cstheme="minorHAnsi"/>
          <w:color w:val="000000"/>
        </w:rPr>
        <w:t xml:space="preserve">Australian Bureau </w:t>
      </w:r>
      <w:r w:rsidRPr="00254A9A">
        <w:rPr>
          <w:rFonts w:cstheme="minorHAnsi"/>
          <w:color w:val="000000"/>
        </w:rPr>
        <w:t xml:space="preserve">of Statistics (2021) </w:t>
      </w:r>
      <w:r w:rsidRPr="00CA156A">
        <w:rPr>
          <w:rFonts w:cstheme="minorHAnsi"/>
          <w:i/>
          <w:iCs/>
          <w:color w:val="000000"/>
        </w:rPr>
        <w:t xml:space="preserve">Census of Population and Housing, </w:t>
      </w:r>
      <w:proofErr w:type="spellStart"/>
      <w:r w:rsidRPr="00CA156A">
        <w:rPr>
          <w:rFonts w:cstheme="minorHAnsi"/>
          <w:i/>
          <w:iCs/>
          <w:color w:val="000000"/>
        </w:rPr>
        <w:t>TableBuilder</w:t>
      </w:r>
      <w:proofErr w:type="spellEnd"/>
      <w:r w:rsidRPr="00254A9A">
        <w:rPr>
          <w:rFonts w:cstheme="minorHAnsi"/>
          <w:color w:val="000000"/>
        </w:rPr>
        <w:t xml:space="preserve">, available at </w:t>
      </w:r>
      <w:hyperlink r:id="rId8" w:history="1">
        <w:r w:rsidRPr="00254A9A">
          <w:rPr>
            <w:rStyle w:val="Hyperlink"/>
            <w:rFonts w:cstheme="minorHAnsi"/>
          </w:rPr>
          <w:t>https://tablebuilder.abs.gov.au</w:t>
        </w:r>
      </w:hyperlink>
      <w:r w:rsidR="00CA156A">
        <w:rPr>
          <w:rStyle w:val="Hyperlink"/>
          <w:rFonts w:cstheme="minorHAnsi"/>
        </w:rPr>
        <w:t>.</w:t>
      </w:r>
      <w:r w:rsidRPr="00254A9A">
        <w:rPr>
          <w:rFonts w:cstheme="minorHAnsi"/>
          <w:color w:val="000000"/>
        </w:rPr>
        <w:t xml:space="preserve"> </w:t>
      </w:r>
    </w:p>
    <w:p w14:paraId="066C3888" w14:textId="5D0FD0DB" w:rsidR="00675683" w:rsidRPr="00254A9A" w:rsidRDefault="00675683" w:rsidP="00CA156A">
      <w:pPr>
        <w:ind w:left="426" w:hanging="426"/>
        <w:outlineLvl w:val="2"/>
        <w:rPr>
          <w:rFonts w:cstheme="minorHAnsi"/>
          <w:color w:val="000000"/>
        </w:rPr>
      </w:pPr>
      <w:r>
        <w:rPr>
          <w:rFonts w:cstheme="minorHAnsi"/>
          <w:color w:val="000000"/>
        </w:rPr>
        <w:t xml:space="preserve">Australian Bureau of Statistics (2023) </w:t>
      </w:r>
      <w:r w:rsidRPr="00CA156A">
        <w:rPr>
          <w:rFonts w:cstheme="minorHAnsi"/>
          <w:i/>
          <w:iCs/>
          <w:color w:val="000000"/>
        </w:rPr>
        <w:t>Consumer Price Index, Australia, December 2022</w:t>
      </w:r>
      <w:r>
        <w:rPr>
          <w:rFonts w:cstheme="minorHAnsi"/>
          <w:color w:val="000000"/>
        </w:rPr>
        <w:t>.</w:t>
      </w:r>
    </w:p>
    <w:p w14:paraId="0ECF3756" w14:textId="31DD00F8" w:rsidR="0071679B" w:rsidRPr="00254A9A" w:rsidRDefault="005E7737" w:rsidP="00CA156A">
      <w:pPr>
        <w:ind w:left="426" w:hanging="426"/>
        <w:outlineLvl w:val="2"/>
        <w:rPr>
          <w:rFonts w:cstheme="minorHAnsi"/>
          <w:color w:val="000000"/>
        </w:rPr>
      </w:pPr>
      <w:r w:rsidRPr="00254A9A">
        <w:rPr>
          <w:rFonts w:cstheme="minorHAnsi"/>
          <w:color w:val="1C1D1E"/>
          <w:shd w:val="clear" w:color="auto" w:fill="FFFFFF"/>
        </w:rPr>
        <w:t xml:space="preserve">Baldwin, R., Chenoweth, L. and dela Rama, M. (2015a) </w:t>
      </w:r>
      <w:r w:rsidR="00982DD8">
        <w:rPr>
          <w:rFonts w:cstheme="minorHAnsi"/>
          <w:color w:val="1C1D1E"/>
          <w:shd w:val="clear" w:color="auto" w:fill="FFFFFF"/>
        </w:rPr>
        <w:t>“</w:t>
      </w:r>
      <w:r w:rsidRPr="00254A9A">
        <w:rPr>
          <w:rFonts w:cstheme="minorHAnsi"/>
          <w:color w:val="1C1D1E"/>
          <w:shd w:val="clear" w:color="auto" w:fill="FFFFFF"/>
        </w:rPr>
        <w:t>Residential Aged Care Policy in Australia – Are We Learning from Evidence?</w:t>
      </w:r>
      <w:r w:rsidR="00982DD8">
        <w:rPr>
          <w:rFonts w:cstheme="minorHAnsi"/>
          <w:color w:val="1C1D1E"/>
          <w:shd w:val="clear" w:color="auto" w:fill="FFFFFF"/>
        </w:rPr>
        <w:t>”</w:t>
      </w:r>
      <w:r w:rsidRPr="00254A9A">
        <w:rPr>
          <w:rFonts w:cstheme="minorHAnsi"/>
          <w:color w:val="1C1D1E"/>
          <w:shd w:val="clear" w:color="auto" w:fill="FFFFFF"/>
        </w:rPr>
        <w:t xml:space="preserve"> </w:t>
      </w:r>
      <w:r w:rsidRPr="00982DD8">
        <w:rPr>
          <w:rFonts w:cstheme="minorHAnsi"/>
          <w:i/>
          <w:iCs/>
          <w:color w:val="1C1D1E"/>
          <w:shd w:val="clear" w:color="auto" w:fill="FFFFFF"/>
        </w:rPr>
        <w:t>Australian Journal of Public Administration</w:t>
      </w:r>
      <w:r w:rsidRPr="00254A9A">
        <w:rPr>
          <w:rFonts w:cstheme="minorHAnsi"/>
          <w:color w:val="1C1D1E"/>
          <w:shd w:val="clear" w:color="auto" w:fill="FFFFFF"/>
        </w:rPr>
        <w:t>, 74: 128-141.</w:t>
      </w:r>
      <w:r w:rsidRPr="00254A9A">
        <w:rPr>
          <w:rFonts w:cstheme="minorHAnsi"/>
          <w:color w:val="000000"/>
        </w:rPr>
        <w:t xml:space="preserve"> </w:t>
      </w:r>
    </w:p>
    <w:p w14:paraId="7C0BF7E9" w14:textId="6E253035" w:rsidR="0071679B" w:rsidRPr="00254A9A" w:rsidRDefault="0071679B" w:rsidP="00CA156A">
      <w:pPr>
        <w:ind w:left="426" w:hanging="426"/>
        <w:outlineLvl w:val="2"/>
        <w:rPr>
          <w:rFonts w:cstheme="minorHAnsi"/>
          <w:color w:val="000000"/>
        </w:rPr>
      </w:pPr>
      <w:r w:rsidRPr="00254A9A">
        <w:rPr>
          <w:rFonts w:cstheme="minorHAnsi"/>
          <w:color w:val="1C1D1E"/>
          <w:shd w:val="clear" w:color="auto" w:fill="FFFFFF"/>
        </w:rPr>
        <w:t xml:space="preserve">Baldwin, R., Chenoweth, L., dela Rama, M. and Liu, Z. (2015b) </w:t>
      </w:r>
      <w:r w:rsidR="00982DD8">
        <w:rPr>
          <w:rFonts w:cstheme="minorHAnsi"/>
          <w:color w:val="1C1D1E"/>
          <w:shd w:val="clear" w:color="auto" w:fill="FFFFFF"/>
        </w:rPr>
        <w:t>“</w:t>
      </w:r>
      <w:r w:rsidRPr="00254A9A">
        <w:rPr>
          <w:rFonts w:cstheme="minorHAnsi"/>
          <w:color w:val="1C1D1E"/>
          <w:shd w:val="clear" w:color="auto" w:fill="FFFFFF"/>
        </w:rPr>
        <w:t>Quality failures in residential aged care</w:t>
      </w:r>
      <w:r w:rsidR="00982DD8">
        <w:rPr>
          <w:rFonts w:cstheme="minorHAnsi"/>
          <w:color w:val="1C1D1E"/>
          <w:shd w:val="clear" w:color="auto" w:fill="FFFFFF"/>
        </w:rPr>
        <w:t>”,</w:t>
      </w:r>
      <w:r w:rsidRPr="00254A9A">
        <w:rPr>
          <w:rFonts w:cstheme="minorHAnsi"/>
          <w:color w:val="1C1D1E"/>
          <w:shd w:val="clear" w:color="auto" w:fill="FFFFFF"/>
        </w:rPr>
        <w:t xml:space="preserve"> </w:t>
      </w:r>
      <w:r w:rsidRPr="00982DD8">
        <w:rPr>
          <w:rFonts w:cstheme="minorHAnsi"/>
          <w:i/>
          <w:iCs/>
          <w:color w:val="1C1D1E"/>
          <w:shd w:val="clear" w:color="auto" w:fill="FFFFFF"/>
        </w:rPr>
        <w:t>Australasian Journal on Ageing</w:t>
      </w:r>
      <w:r w:rsidRPr="00254A9A">
        <w:rPr>
          <w:rFonts w:cstheme="minorHAnsi"/>
          <w:color w:val="1C1D1E"/>
          <w:shd w:val="clear" w:color="auto" w:fill="FFFFFF"/>
        </w:rPr>
        <w:t>, 34: E7-E12</w:t>
      </w:r>
      <w:r w:rsidRPr="00254A9A">
        <w:rPr>
          <w:rFonts w:cstheme="minorHAnsi"/>
          <w:color w:val="000000"/>
        </w:rPr>
        <w:t xml:space="preserve"> </w:t>
      </w:r>
    </w:p>
    <w:p w14:paraId="07A37F08" w14:textId="19736C3C" w:rsidR="009078BA" w:rsidRPr="00254A9A" w:rsidRDefault="009B6004" w:rsidP="00CA156A">
      <w:pPr>
        <w:ind w:left="426" w:hanging="426"/>
        <w:outlineLvl w:val="2"/>
        <w:rPr>
          <w:rFonts w:cstheme="minorHAnsi"/>
          <w:color w:val="000000"/>
        </w:rPr>
      </w:pPr>
      <w:r w:rsidRPr="00254A9A">
        <w:rPr>
          <w:rFonts w:cstheme="minorHAnsi"/>
          <w:color w:val="000000"/>
        </w:rPr>
        <w:t xml:space="preserve">Blue Haven (2021) </w:t>
      </w:r>
      <w:r w:rsidRPr="00982DD8">
        <w:rPr>
          <w:rFonts w:cstheme="minorHAnsi"/>
          <w:i/>
          <w:iCs/>
          <w:color w:val="000000"/>
        </w:rPr>
        <w:t xml:space="preserve">Blue Haven </w:t>
      </w:r>
      <w:proofErr w:type="spellStart"/>
      <w:r w:rsidRPr="00982DD8">
        <w:rPr>
          <w:rFonts w:cstheme="minorHAnsi"/>
          <w:i/>
          <w:iCs/>
          <w:color w:val="000000"/>
        </w:rPr>
        <w:t>Terralong</w:t>
      </w:r>
      <w:proofErr w:type="spellEnd"/>
      <w:r w:rsidRPr="00982DD8">
        <w:rPr>
          <w:rFonts w:cstheme="minorHAnsi"/>
          <w:i/>
          <w:iCs/>
          <w:color w:val="000000"/>
        </w:rPr>
        <w:t xml:space="preserve"> Frequently Asked Questions</w:t>
      </w:r>
      <w:r w:rsidRPr="00254A9A">
        <w:rPr>
          <w:rFonts w:cstheme="minorHAnsi"/>
          <w:color w:val="000000"/>
        </w:rPr>
        <w:t xml:space="preserve">, available at: </w:t>
      </w:r>
      <w:hyperlink r:id="rId9" w:history="1">
        <w:r w:rsidRPr="00254A9A">
          <w:rPr>
            <w:rStyle w:val="Hyperlink"/>
            <w:rFonts w:cstheme="minorHAnsi"/>
          </w:rPr>
          <w:t>https://bluehavenillawarra.com.au/wp-content/uploads/2021/03/BH-Terralong-Frequently-Asked-Questions-updated-March-2021.pdf</w:t>
        </w:r>
      </w:hyperlink>
      <w:r w:rsidRPr="00254A9A">
        <w:rPr>
          <w:rFonts w:cstheme="minorHAnsi"/>
          <w:color w:val="000000"/>
        </w:rPr>
        <w:t xml:space="preserve"> </w:t>
      </w:r>
    </w:p>
    <w:p w14:paraId="56D96EB4" w14:textId="641AF040" w:rsidR="00254A9A" w:rsidRPr="00982DD8" w:rsidRDefault="00254A9A" w:rsidP="00CA156A">
      <w:pPr>
        <w:ind w:left="426" w:hanging="426"/>
        <w:outlineLvl w:val="2"/>
        <w:rPr>
          <w:rFonts w:cstheme="minorHAnsi"/>
        </w:rPr>
      </w:pPr>
      <w:r w:rsidRPr="00254A9A">
        <w:rPr>
          <w:rFonts w:cstheme="minorHAnsi"/>
        </w:rPr>
        <w:t xml:space="preserve">Bos A., </w:t>
      </w:r>
      <w:proofErr w:type="spellStart"/>
      <w:r w:rsidRPr="00254A9A">
        <w:rPr>
          <w:rFonts w:cstheme="minorHAnsi"/>
        </w:rPr>
        <w:t>Boselie</w:t>
      </w:r>
      <w:proofErr w:type="spellEnd"/>
      <w:r w:rsidRPr="00254A9A">
        <w:rPr>
          <w:rFonts w:cstheme="minorHAnsi"/>
        </w:rPr>
        <w:t xml:space="preserve"> P., </w:t>
      </w:r>
      <w:proofErr w:type="spellStart"/>
      <w:r w:rsidRPr="00254A9A">
        <w:rPr>
          <w:rFonts w:cstheme="minorHAnsi"/>
        </w:rPr>
        <w:t>Trappenburg</w:t>
      </w:r>
      <w:proofErr w:type="spellEnd"/>
      <w:r w:rsidRPr="00254A9A">
        <w:rPr>
          <w:rFonts w:cstheme="minorHAnsi"/>
        </w:rPr>
        <w:t xml:space="preserve"> M. (2017) </w:t>
      </w:r>
      <w:r w:rsidR="00982DD8">
        <w:rPr>
          <w:rFonts w:cstheme="minorHAnsi"/>
        </w:rPr>
        <w:t>“</w:t>
      </w:r>
      <w:r w:rsidRPr="00254A9A">
        <w:rPr>
          <w:rFonts w:cstheme="minorHAnsi"/>
        </w:rPr>
        <w:t>Financial performance, employee well-being, and client well-being in for-profit and not-for-profit nursing homes: A systematic review</w:t>
      </w:r>
      <w:r w:rsidR="00982DD8">
        <w:rPr>
          <w:rFonts w:cstheme="minorHAnsi"/>
        </w:rPr>
        <w:t xml:space="preserve">”, </w:t>
      </w:r>
      <w:r w:rsidR="00982DD8" w:rsidRPr="00982DD8">
        <w:rPr>
          <w:rFonts w:cstheme="minorHAnsi"/>
          <w:i/>
          <w:iCs/>
          <w:color w:val="222222"/>
        </w:rPr>
        <w:t>Health care management review</w:t>
      </w:r>
      <w:r w:rsidR="00982DD8" w:rsidRPr="00982DD8">
        <w:rPr>
          <w:rFonts w:cstheme="minorHAnsi"/>
          <w:color w:val="222222"/>
          <w:shd w:val="clear" w:color="auto" w:fill="FFFFFF"/>
        </w:rPr>
        <w:t>,</w:t>
      </w:r>
      <w:r w:rsidR="00982DD8" w:rsidRPr="00982DD8">
        <w:rPr>
          <w:rStyle w:val="apple-converted-space"/>
          <w:rFonts w:cstheme="minorHAnsi"/>
          <w:color w:val="222222"/>
          <w:shd w:val="clear" w:color="auto" w:fill="FFFFFF"/>
        </w:rPr>
        <w:t> </w:t>
      </w:r>
      <w:r w:rsidR="00982DD8" w:rsidRPr="00982DD8">
        <w:rPr>
          <w:rFonts w:cstheme="minorHAnsi"/>
          <w:i/>
          <w:iCs/>
          <w:color w:val="222222"/>
        </w:rPr>
        <w:t>42</w:t>
      </w:r>
      <w:r w:rsidR="00982DD8" w:rsidRPr="00982DD8">
        <w:rPr>
          <w:rFonts w:cstheme="minorHAnsi"/>
          <w:color w:val="222222"/>
          <w:shd w:val="clear" w:color="auto" w:fill="FFFFFF"/>
        </w:rPr>
        <w:t>(4), pp.352-368.</w:t>
      </w:r>
    </w:p>
    <w:p w14:paraId="71C5536B" w14:textId="359740A6" w:rsidR="00F348C1" w:rsidRDefault="00F348C1" w:rsidP="00CA156A">
      <w:pPr>
        <w:ind w:left="426" w:hanging="426"/>
        <w:outlineLvl w:val="2"/>
        <w:rPr>
          <w:rFonts w:cstheme="minorHAnsi"/>
        </w:rPr>
      </w:pPr>
      <w:r>
        <w:rPr>
          <w:rFonts w:cstheme="minorHAnsi"/>
        </w:rPr>
        <w:t xml:space="preserve">Fair Work Ombudsman (2023a) </w:t>
      </w:r>
      <w:proofErr w:type="spellStart"/>
      <w:proofErr w:type="gramStart"/>
      <w:r>
        <w:rPr>
          <w:rFonts w:ascii="Calibri" w:hAnsi="Calibri" w:cs="Calibri"/>
          <w:i/>
          <w:iCs/>
          <w:color w:val="232323"/>
        </w:rPr>
        <w:t>Social,Community</w:t>
      </w:r>
      <w:proofErr w:type="gramEnd"/>
      <w:r>
        <w:rPr>
          <w:rFonts w:ascii="Calibri" w:hAnsi="Calibri" w:cs="Calibri"/>
          <w:i/>
          <w:iCs/>
          <w:color w:val="232323"/>
        </w:rPr>
        <w:t>,Home</w:t>
      </w:r>
      <w:proofErr w:type="spellEnd"/>
      <w:r>
        <w:rPr>
          <w:rFonts w:ascii="Calibri" w:hAnsi="Calibri" w:cs="Calibri"/>
          <w:i/>
          <w:iCs/>
          <w:color w:val="232323"/>
        </w:rPr>
        <w:t xml:space="preserve"> Care and Disability Services Industry Award 2010</w:t>
      </w:r>
      <w:r w:rsidR="00982DD8">
        <w:rPr>
          <w:rFonts w:ascii="Calibri" w:hAnsi="Calibri" w:cs="Calibri"/>
          <w:i/>
          <w:iCs/>
          <w:color w:val="232323"/>
        </w:rPr>
        <w:t>.</w:t>
      </w:r>
    </w:p>
    <w:p w14:paraId="49CF7451" w14:textId="0697F9B3" w:rsidR="002B065D" w:rsidRDefault="002B065D" w:rsidP="00CA156A">
      <w:pPr>
        <w:ind w:left="426" w:hanging="426"/>
        <w:outlineLvl w:val="2"/>
        <w:rPr>
          <w:rFonts w:cstheme="minorHAnsi"/>
        </w:rPr>
      </w:pPr>
      <w:r>
        <w:rPr>
          <w:rFonts w:cstheme="minorHAnsi"/>
        </w:rPr>
        <w:t xml:space="preserve">Fair Work Ombudsman (2023b) </w:t>
      </w:r>
      <w:r>
        <w:rPr>
          <w:rFonts w:ascii="Calibri" w:hAnsi="Calibri" w:cs="Calibri"/>
          <w:i/>
          <w:iCs/>
          <w:color w:val="232323"/>
        </w:rPr>
        <w:t>Aged Care Award 2010</w:t>
      </w:r>
      <w:r w:rsidR="00982DD8">
        <w:rPr>
          <w:rFonts w:ascii="Calibri" w:hAnsi="Calibri" w:cs="Calibri"/>
          <w:i/>
          <w:iCs/>
          <w:color w:val="232323"/>
        </w:rPr>
        <w:t>.</w:t>
      </w:r>
    </w:p>
    <w:p w14:paraId="04F38A96" w14:textId="2218386E" w:rsidR="0068537B" w:rsidRPr="00254A9A" w:rsidRDefault="0068537B" w:rsidP="00CA156A">
      <w:pPr>
        <w:ind w:left="426" w:hanging="426"/>
        <w:outlineLvl w:val="2"/>
        <w:rPr>
          <w:rFonts w:cstheme="minorHAnsi"/>
          <w:color w:val="0080AC"/>
        </w:rPr>
      </w:pPr>
      <w:proofErr w:type="spellStart"/>
      <w:r w:rsidRPr="00254A9A">
        <w:rPr>
          <w:rFonts w:cstheme="minorHAnsi"/>
        </w:rPr>
        <w:t>Comondore</w:t>
      </w:r>
      <w:proofErr w:type="spellEnd"/>
      <w:r w:rsidRPr="00254A9A">
        <w:rPr>
          <w:rFonts w:cstheme="minorHAnsi"/>
        </w:rPr>
        <w:t xml:space="preserve"> V</w:t>
      </w:r>
      <w:r w:rsidR="00982DD8">
        <w:rPr>
          <w:rFonts w:cstheme="minorHAnsi"/>
        </w:rPr>
        <w:t>.</w:t>
      </w:r>
      <w:r w:rsidRPr="00254A9A">
        <w:rPr>
          <w:rFonts w:cstheme="minorHAnsi"/>
        </w:rPr>
        <w:t>R</w:t>
      </w:r>
      <w:r w:rsidR="00982DD8">
        <w:rPr>
          <w:rFonts w:cstheme="minorHAnsi"/>
        </w:rPr>
        <w:t>.</w:t>
      </w:r>
      <w:r w:rsidRPr="00254A9A">
        <w:rPr>
          <w:rFonts w:cstheme="minorHAnsi"/>
        </w:rPr>
        <w:t>, Devereaux P</w:t>
      </w:r>
      <w:r w:rsidR="00982DD8">
        <w:rPr>
          <w:rFonts w:cstheme="minorHAnsi"/>
        </w:rPr>
        <w:t>.</w:t>
      </w:r>
      <w:r w:rsidRPr="00254A9A">
        <w:rPr>
          <w:rFonts w:cstheme="minorHAnsi"/>
        </w:rPr>
        <w:t>J</w:t>
      </w:r>
      <w:r w:rsidR="00982DD8">
        <w:rPr>
          <w:rFonts w:cstheme="minorHAnsi"/>
        </w:rPr>
        <w:t>.</w:t>
      </w:r>
      <w:r w:rsidRPr="00254A9A">
        <w:rPr>
          <w:rFonts w:cstheme="minorHAnsi"/>
        </w:rPr>
        <w:t>, Zhou Q</w:t>
      </w:r>
      <w:r w:rsidR="00982DD8">
        <w:rPr>
          <w:rFonts w:cstheme="minorHAnsi"/>
        </w:rPr>
        <w:t>.</w:t>
      </w:r>
      <w:r w:rsidRPr="00254A9A">
        <w:rPr>
          <w:rFonts w:cstheme="minorHAnsi"/>
        </w:rPr>
        <w:t>, Stone S</w:t>
      </w:r>
      <w:r w:rsidR="00982DD8">
        <w:rPr>
          <w:rFonts w:cstheme="minorHAnsi"/>
        </w:rPr>
        <w:t>.</w:t>
      </w:r>
      <w:r w:rsidRPr="00254A9A">
        <w:rPr>
          <w:rFonts w:cstheme="minorHAnsi"/>
        </w:rPr>
        <w:t>B</w:t>
      </w:r>
      <w:r w:rsidR="00982DD8">
        <w:rPr>
          <w:rFonts w:cstheme="minorHAnsi"/>
        </w:rPr>
        <w:t>.</w:t>
      </w:r>
      <w:r w:rsidRPr="00254A9A">
        <w:rPr>
          <w:rFonts w:cstheme="minorHAnsi"/>
        </w:rPr>
        <w:t xml:space="preserve">, </w:t>
      </w:r>
      <w:proofErr w:type="spellStart"/>
      <w:r w:rsidRPr="00254A9A">
        <w:rPr>
          <w:rFonts w:cstheme="minorHAnsi"/>
        </w:rPr>
        <w:t>Busse</w:t>
      </w:r>
      <w:proofErr w:type="spellEnd"/>
      <w:r w:rsidRPr="00254A9A">
        <w:rPr>
          <w:rFonts w:cstheme="minorHAnsi"/>
        </w:rPr>
        <w:t xml:space="preserve"> J</w:t>
      </w:r>
      <w:r w:rsidR="00982DD8">
        <w:rPr>
          <w:rFonts w:cstheme="minorHAnsi"/>
        </w:rPr>
        <w:t>.</w:t>
      </w:r>
      <w:r w:rsidRPr="00254A9A">
        <w:rPr>
          <w:rFonts w:cstheme="minorHAnsi"/>
        </w:rPr>
        <w:t>W</w:t>
      </w:r>
      <w:r w:rsidR="00982DD8">
        <w:rPr>
          <w:rFonts w:cstheme="minorHAnsi"/>
        </w:rPr>
        <w:t>.</w:t>
      </w:r>
      <w:r w:rsidRPr="00254A9A">
        <w:rPr>
          <w:rFonts w:cstheme="minorHAnsi"/>
        </w:rPr>
        <w:t>, Ravindran N</w:t>
      </w:r>
      <w:r w:rsidR="00982DD8">
        <w:rPr>
          <w:rFonts w:cstheme="minorHAnsi"/>
        </w:rPr>
        <w:t>.</w:t>
      </w:r>
      <w:r w:rsidRPr="00254A9A">
        <w:rPr>
          <w:rFonts w:cstheme="minorHAnsi"/>
        </w:rPr>
        <w:t>C</w:t>
      </w:r>
      <w:r w:rsidR="00982DD8">
        <w:rPr>
          <w:rFonts w:cstheme="minorHAnsi"/>
        </w:rPr>
        <w:t>.</w:t>
      </w:r>
      <w:r w:rsidRPr="00254A9A">
        <w:rPr>
          <w:rFonts w:cstheme="minorHAnsi"/>
        </w:rPr>
        <w:t xml:space="preserve">, </w:t>
      </w:r>
      <w:r w:rsidR="00982DD8">
        <w:rPr>
          <w:rFonts w:cstheme="minorHAnsi"/>
        </w:rPr>
        <w:t>(2009)</w:t>
      </w:r>
      <w:r w:rsidRPr="00254A9A">
        <w:rPr>
          <w:rFonts w:cstheme="minorHAnsi"/>
        </w:rPr>
        <w:t xml:space="preserve"> </w:t>
      </w:r>
      <w:r w:rsidR="00982DD8">
        <w:rPr>
          <w:rFonts w:cstheme="minorHAnsi"/>
        </w:rPr>
        <w:t>“</w:t>
      </w:r>
      <w:r w:rsidRPr="00254A9A">
        <w:rPr>
          <w:rFonts w:cstheme="minorHAnsi"/>
        </w:rPr>
        <w:t>Quality of care in for-profit and not-for-profit nursing homes: Systematic r</w:t>
      </w:r>
      <w:r w:rsidR="00982DD8">
        <w:rPr>
          <w:rFonts w:cstheme="minorHAnsi"/>
        </w:rPr>
        <w:t>e</w:t>
      </w:r>
      <w:r w:rsidRPr="00254A9A">
        <w:rPr>
          <w:rFonts w:cstheme="minorHAnsi"/>
        </w:rPr>
        <w:t>view and meta-analysis</w:t>
      </w:r>
      <w:r w:rsidR="00982DD8">
        <w:rPr>
          <w:rFonts w:cstheme="minorHAnsi"/>
        </w:rPr>
        <w:t>”,</w:t>
      </w:r>
      <w:r w:rsidRPr="00254A9A">
        <w:rPr>
          <w:rFonts w:cstheme="minorHAnsi"/>
        </w:rPr>
        <w:t xml:space="preserve"> </w:t>
      </w:r>
      <w:r w:rsidRPr="00982DD8">
        <w:rPr>
          <w:rFonts w:cstheme="minorHAnsi"/>
          <w:i/>
          <w:iCs/>
        </w:rPr>
        <w:t>Br Med J</w:t>
      </w:r>
      <w:r w:rsidR="00982DD8">
        <w:rPr>
          <w:rFonts w:cstheme="minorHAnsi"/>
        </w:rPr>
        <w:t>,</w:t>
      </w:r>
      <w:r w:rsidRPr="00254A9A">
        <w:rPr>
          <w:rFonts w:cstheme="minorHAnsi"/>
        </w:rPr>
        <w:t xml:space="preserve"> </w:t>
      </w:r>
      <w:proofErr w:type="spellStart"/>
      <w:r w:rsidRPr="00254A9A">
        <w:rPr>
          <w:rFonts w:cstheme="minorHAnsi"/>
        </w:rPr>
        <w:t>doi</w:t>
      </w:r>
      <w:proofErr w:type="spellEnd"/>
      <w:r w:rsidRPr="00254A9A">
        <w:rPr>
          <w:rFonts w:cstheme="minorHAnsi"/>
        </w:rPr>
        <w:t xml:space="preserve">: </w:t>
      </w:r>
      <w:r w:rsidRPr="00254A9A">
        <w:rPr>
          <w:rFonts w:cstheme="minorHAnsi"/>
          <w:color w:val="0080AC"/>
        </w:rPr>
        <w:t>10.1136/</w:t>
      </w:r>
      <w:proofErr w:type="gramStart"/>
      <w:r w:rsidRPr="00254A9A">
        <w:rPr>
          <w:rFonts w:cstheme="minorHAnsi"/>
          <w:color w:val="0080AC"/>
        </w:rPr>
        <w:t>bmj.b</w:t>
      </w:r>
      <w:proofErr w:type="gramEnd"/>
      <w:r w:rsidRPr="00254A9A">
        <w:rPr>
          <w:rFonts w:cstheme="minorHAnsi"/>
          <w:color w:val="0080AC"/>
        </w:rPr>
        <w:t xml:space="preserve">2732 </w:t>
      </w:r>
    </w:p>
    <w:p w14:paraId="5605E233" w14:textId="24AB1EC2" w:rsidR="0068537B" w:rsidRPr="00254A9A" w:rsidRDefault="0068537B" w:rsidP="00CA156A">
      <w:pPr>
        <w:ind w:left="426" w:hanging="426"/>
        <w:outlineLvl w:val="2"/>
        <w:rPr>
          <w:rFonts w:cstheme="minorHAnsi"/>
          <w:color w:val="000000" w:themeColor="text1"/>
        </w:rPr>
      </w:pPr>
      <w:r w:rsidRPr="00254A9A">
        <w:rPr>
          <w:rFonts w:cstheme="minorHAnsi"/>
          <w:color w:val="000000" w:themeColor="text1"/>
        </w:rPr>
        <w:t xml:space="preserve">Grabowski </w:t>
      </w:r>
      <w:proofErr w:type="gramStart"/>
      <w:r w:rsidRPr="00254A9A">
        <w:rPr>
          <w:rFonts w:cstheme="minorHAnsi"/>
          <w:color w:val="000000" w:themeColor="text1"/>
        </w:rPr>
        <w:t>D</w:t>
      </w:r>
      <w:r w:rsidR="00982DD8">
        <w:rPr>
          <w:rFonts w:cstheme="minorHAnsi"/>
          <w:color w:val="000000" w:themeColor="text1"/>
        </w:rPr>
        <w:t>.</w:t>
      </w:r>
      <w:r w:rsidRPr="00254A9A">
        <w:rPr>
          <w:rFonts w:cstheme="minorHAnsi"/>
          <w:color w:val="000000" w:themeColor="text1"/>
        </w:rPr>
        <w:t>C</w:t>
      </w:r>
      <w:r w:rsidR="00982DD8">
        <w:rPr>
          <w:rFonts w:cstheme="minorHAnsi"/>
          <w:color w:val="000000" w:themeColor="text1"/>
        </w:rPr>
        <w:t>.</w:t>
      </w:r>
      <w:r w:rsidRPr="00254A9A">
        <w:rPr>
          <w:rFonts w:cstheme="minorHAnsi"/>
          <w:color w:val="000000" w:themeColor="text1"/>
        </w:rPr>
        <w:t xml:space="preserve"> ,</w:t>
      </w:r>
      <w:proofErr w:type="gramEnd"/>
      <w:r w:rsidRPr="00254A9A">
        <w:rPr>
          <w:rFonts w:cstheme="minorHAnsi"/>
          <w:color w:val="000000" w:themeColor="text1"/>
        </w:rPr>
        <w:t xml:space="preserve"> Feng Z</w:t>
      </w:r>
      <w:r w:rsidR="00982DD8">
        <w:rPr>
          <w:rFonts w:cstheme="minorHAnsi"/>
          <w:color w:val="000000" w:themeColor="text1"/>
        </w:rPr>
        <w:t>.</w:t>
      </w:r>
      <w:r w:rsidRPr="00254A9A">
        <w:rPr>
          <w:rFonts w:cstheme="minorHAnsi"/>
          <w:color w:val="000000" w:themeColor="text1"/>
        </w:rPr>
        <w:t xml:space="preserve">, </w:t>
      </w:r>
      <w:proofErr w:type="spellStart"/>
      <w:r w:rsidRPr="00254A9A">
        <w:rPr>
          <w:rFonts w:cstheme="minorHAnsi"/>
          <w:color w:val="000000" w:themeColor="text1"/>
        </w:rPr>
        <w:t>Hirth</w:t>
      </w:r>
      <w:proofErr w:type="spellEnd"/>
      <w:r w:rsidRPr="00254A9A">
        <w:rPr>
          <w:rFonts w:cstheme="minorHAnsi"/>
          <w:color w:val="000000" w:themeColor="text1"/>
        </w:rPr>
        <w:t xml:space="preserve"> R</w:t>
      </w:r>
      <w:r w:rsidR="00982DD8">
        <w:rPr>
          <w:rFonts w:cstheme="minorHAnsi"/>
          <w:color w:val="000000" w:themeColor="text1"/>
        </w:rPr>
        <w:t>.</w:t>
      </w:r>
      <w:r w:rsidRPr="00254A9A">
        <w:rPr>
          <w:rFonts w:cstheme="minorHAnsi"/>
          <w:color w:val="000000" w:themeColor="text1"/>
        </w:rPr>
        <w:t>, Rahman M</w:t>
      </w:r>
      <w:r w:rsidR="00982DD8">
        <w:rPr>
          <w:rFonts w:cstheme="minorHAnsi"/>
          <w:color w:val="000000" w:themeColor="text1"/>
        </w:rPr>
        <w:t>.</w:t>
      </w:r>
      <w:r w:rsidRPr="00254A9A">
        <w:rPr>
          <w:rFonts w:cstheme="minorHAnsi"/>
          <w:color w:val="000000" w:themeColor="text1"/>
        </w:rPr>
        <w:t xml:space="preserve">, </w:t>
      </w:r>
      <w:proofErr w:type="spellStart"/>
      <w:r w:rsidRPr="00254A9A">
        <w:rPr>
          <w:rFonts w:cstheme="minorHAnsi"/>
          <w:color w:val="000000" w:themeColor="text1"/>
        </w:rPr>
        <w:t>Mor</w:t>
      </w:r>
      <w:proofErr w:type="spellEnd"/>
      <w:r w:rsidRPr="00254A9A">
        <w:rPr>
          <w:rFonts w:cstheme="minorHAnsi"/>
          <w:color w:val="000000" w:themeColor="text1"/>
        </w:rPr>
        <w:t xml:space="preserve"> V.</w:t>
      </w:r>
      <w:r w:rsidR="00982DD8">
        <w:rPr>
          <w:rFonts w:cstheme="minorHAnsi"/>
          <w:color w:val="000000" w:themeColor="text1"/>
        </w:rPr>
        <w:t xml:space="preserve"> (2013)</w:t>
      </w:r>
      <w:r w:rsidRPr="00254A9A">
        <w:rPr>
          <w:rFonts w:cstheme="minorHAnsi"/>
          <w:color w:val="000000" w:themeColor="text1"/>
        </w:rPr>
        <w:t xml:space="preserve"> </w:t>
      </w:r>
      <w:r w:rsidR="00982DD8">
        <w:rPr>
          <w:rFonts w:cstheme="minorHAnsi"/>
          <w:color w:val="000000" w:themeColor="text1"/>
        </w:rPr>
        <w:t>“</w:t>
      </w:r>
      <w:r w:rsidRPr="00254A9A">
        <w:rPr>
          <w:rFonts w:cstheme="minorHAnsi"/>
          <w:color w:val="000000" w:themeColor="text1"/>
        </w:rPr>
        <w:t>Effect of nursing home ownership on the quality of post-acute care: An instrumental variables approach</w:t>
      </w:r>
      <w:r w:rsidR="00982DD8">
        <w:rPr>
          <w:rFonts w:cstheme="minorHAnsi"/>
          <w:color w:val="000000" w:themeColor="text1"/>
        </w:rPr>
        <w:t>”</w:t>
      </w:r>
      <w:r w:rsidRPr="00254A9A">
        <w:rPr>
          <w:rFonts w:cstheme="minorHAnsi"/>
          <w:color w:val="000000" w:themeColor="text1"/>
        </w:rPr>
        <w:t xml:space="preserve"> </w:t>
      </w:r>
      <w:r w:rsidRPr="00982DD8">
        <w:rPr>
          <w:rFonts w:cstheme="minorHAnsi"/>
          <w:i/>
          <w:iCs/>
          <w:color w:val="000000" w:themeColor="text1"/>
        </w:rPr>
        <w:t>J Health Econ</w:t>
      </w:r>
      <w:r w:rsidRPr="00254A9A">
        <w:rPr>
          <w:rFonts w:cstheme="minorHAnsi"/>
          <w:color w:val="000000" w:themeColor="text1"/>
        </w:rPr>
        <w:t xml:space="preserve"> 32(1):12–21 . </w:t>
      </w:r>
    </w:p>
    <w:p w14:paraId="426ED411" w14:textId="6D650021" w:rsidR="0068537B" w:rsidRPr="00254A9A" w:rsidRDefault="0068537B" w:rsidP="00CA156A">
      <w:pPr>
        <w:ind w:left="426" w:hanging="426"/>
        <w:outlineLvl w:val="2"/>
        <w:rPr>
          <w:rFonts w:cstheme="minorHAnsi"/>
          <w:color w:val="0080AC"/>
        </w:rPr>
      </w:pPr>
      <w:r w:rsidRPr="00254A9A">
        <w:rPr>
          <w:rFonts w:cstheme="minorHAnsi"/>
        </w:rPr>
        <w:t>Harrington C</w:t>
      </w:r>
      <w:r w:rsidR="00982DD8">
        <w:rPr>
          <w:rFonts w:cstheme="minorHAnsi"/>
        </w:rPr>
        <w:t>.</w:t>
      </w:r>
      <w:r w:rsidRPr="00254A9A">
        <w:rPr>
          <w:rFonts w:cstheme="minorHAnsi"/>
        </w:rPr>
        <w:t>, Jacobsen F</w:t>
      </w:r>
      <w:r w:rsidR="00982DD8">
        <w:rPr>
          <w:rFonts w:cstheme="minorHAnsi"/>
        </w:rPr>
        <w:t>.</w:t>
      </w:r>
      <w:r w:rsidRPr="00254A9A">
        <w:rPr>
          <w:rFonts w:cstheme="minorHAnsi"/>
        </w:rPr>
        <w:t>F</w:t>
      </w:r>
      <w:r w:rsidR="00982DD8">
        <w:rPr>
          <w:rFonts w:cstheme="minorHAnsi"/>
        </w:rPr>
        <w:t>.</w:t>
      </w:r>
      <w:r w:rsidRPr="00254A9A">
        <w:rPr>
          <w:rFonts w:cstheme="minorHAnsi"/>
        </w:rPr>
        <w:t xml:space="preserve">, </w:t>
      </w:r>
      <w:proofErr w:type="spellStart"/>
      <w:r w:rsidRPr="00254A9A">
        <w:rPr>
          <w:rFonts w:cstheme="minorHAnsi"/>
        </w:rPr>
        <w:t>Panos</w:t>
      </w:r>
      <w:proofErr w:type="spellEnd"/>
      <w:r w:rsidRPr="00254A9A">
        <w:rPr>
          <w:rFonts w:cstheme="minorHAnsi"/>
        </w:rPr>
        <w:t xml:space="preserve"> J</w:t>
      </w:r>
      <w:r w:rsidR="00982DD8">
        <w:rPr>
          <w:rFonts w:cstheme="minorHAnsi"/>
        </w:rPr>
        <w:t>.</w:t>
      </w:r>
      <w:r w:rsidRPr="00254A9A">
        <w:rPr>
          <w:rFonts w:cstheme="minorHAnsi"/>
        </w:rPr>
        <w:t>, Pollock A</w:t>
      </w:r>
      <w:r w:rsidR="00982DD8">
        <w:rPr>
          <w:rFonts w:cstheme="minorHAnsi"/>
        </w:rPr>
        <w:t>.</w:t>
      </w:r>
      <w:r w:rsidRPr="00254A9A">
        <w:rPr>
          <w:rFonts w:cstheme="minorHAnsi"/>
        </w:rPr>
        <w:t>, Sutaria S</w:t>
      </w:r>
      <w:r w:rsidR="00982DD8">
        <w:rPr>
          <w:rFonts w:cstheme="minorHAnsi"/>
        </w:rPr>
        <w:t>.</w:t>
      </w:r>
      <w:r w:rsidRPr="00254A9A">
        <w:rPr>
          <w:rFonts w:cstheme="minorHAnsi"/>
        </w:rPr>
        <w:t xml:space="preserve">, </w:t>
      </w:r>
      <w:proofErr w:type="spellStart"/>
      <w:r w:rsidRPr="00254A9A">
        <w:rPr>
          <w:rFonts w:cstheme="minorHAnsi"/>
        </w:rPr>
        <w:t>Szebehely</w:t>
      </w:r>
      <w:proofErr w:type="spellEnd"/>
      <w:r w:rsidRPr="00254A9A">
        <w:rPr>
          <w:rFonts w:cstheme="minorHAnsi"/>
        </w:rPr>
        <w:t xml:space="preserve"> M. </w:t>
      </w:r>
      <w:r w:rsidR="00982DD8">
        <w:rPr>
          <w:rFonts w:cstheme="minorHAnsi"/>
        </w:rPr>
        <w:t>(2017) “</w:t>
      </w:r>
      <w:r w:rsidRPr="00254A9A">
        <w:rPr>
          <w:rFonts w:cstheme="minorHAnsi"/>
        </w:rPr>
        <w:t>Marketization in long-term care: a cross-country comparison of large for-profit nursing home chain chains</w:t>
      </w:r>
      <w:r w:rsidR="00982DD8">
        <w:rPr>
          <w:rFonts w:cstheme="minorHAnsi"/>
        </w:rPr>
        <w:t>”,</w:t>
      </w:r>
      <w:r w:rsidRPr="00254A9A">
        <w:rPr>
          <w:rFonts w:cstheme="minorHAnsi"/>
        </w:rPr>
        <w:t xml:space="preserve"> </w:t>
      </w:r>
      <w:r w:rsidRPr="00982DD8">
        <w:rPr>
          <w:rFonts w:cstheme="minorHAnsi"/>
          <w:i/>
          <w:iCs/>
        </w:rPr>
        <w:t>Health Services Insights</w:t>
      </w:r>
      <w:r w:rsidR="00982DD8">
        <w:rPr>
          <w:rFonts w:cstheme="minorHAnsi"/>
        </w:rPr>
        <w:t>,</w:t>
      </w:r>
      <w:r w:rsidRPr="00254A9A">
        <w:rPr>
          <w:rFonts w:cstheme="minorHAnsi"/>
        </w:rPr>
        <w:t xml:space="preserve"> 10:1–23. </w:t>
      </w:r>
    </w:p>
    <w:p w14:paraId="2F31C0E4" w14:textId="56C2F197" w:rsidR="00F348C1" w:rsidRDefault="00F348C1" w:rsidP="00CA156A">
      <w:pPr>
        <w:ind w:left="426" w:hanging="426"/>
        <w:outlineLvl w:val="2"/>
        <w:rPr>
          <w:rFonts w:cstheme="minorHAnsi"/>
          <w:color w:val="000000" w:themeColor="text1"/>
        </w:rPr>
      </w:pPr>
      <w:r>
        <w:rPr>
          <w:rFonts w:cstheme="minorHAnsi"/>
          <w:color w:val="000000" w:themeColor="text1"/>
        </w:rPr>
        <w:t xml:space="preserve">Industrial Relations Commission of New South Wales </w:t>
      </w:r>
      <w:r w:rsidR="007C6F14">
        <w:rPr>
          <w:rFonts w:cstheme="minorHAnsi"/>
          <w:color w:val="000000" w:themeColor="text1"/>
        </w:rPr>
        <w:t>(</w:t>
      </w:r>
      <w:r>
        <w:rPr>
          <w:rFonts w:cstheme="minorHAnsi"/>
          <w:color w:val="000000" w:themeColor="text1"/>
        </w:rPr>
        <w:t>2021</w:t>
      </w:r>
      <w:r w:rsidR="007C6F14">
        <w:rPr>
          <w:rFonts w:cstheme="minorHAnsi"/>
          <w:color w:val="000000" w:themeColor="text1"/>
        </w:rPr>
        <w:t>a)</w:t>
      </w:r>
      <w:r>
        <w:rPr>
          <w:rFonts w:cstheme="minorHAnsi"/>
          <w:color w:val="000000" w:themeColor="text1"/>
        </w:rPr>
        <w:t xml:space="preserve"> </w:t>
      </w:r>
      <w:r w:rsidRPr="00982DD8">
        <w:rPr>
          <w:rFonts w:cstheme="minorHAnsi"/>
          <w:i/>
          <w:iCs/>
          <w:color w:val="000000" w:themeColor="text1"/>
        </w:rPr>
        <w:t>Local Government (State) Award 2020</w:t>
      </w:r>
      <w:r w:rsidR="00982DD8">
        <w:rPr>
          <w:rFonts w:cstheme="minorHAnsi"/>
          <w:i/>
          <w:iCs/>
          <w:color w:val="000000" w:themeColor="text1"/>
        </w:rPr>
        <w:t>.</w:t>
      </w:r>
    </w:p>
    <w:p w14:paraId="5BDCCD9D" w14:textId="0FBB1496" w:rsidR="007C6F14" w:rsidRDefault="007C6F14" w:rsidP="00CA156A">
      <w:pPr>
        <w:ind w:left="426" w:hanging="426"/>
        <w:outlineLvl w:val="2"/>
        <w:rPr>
          <w:rFonts w:cstheme="minorHAnsi"/>
          <w:color w:val="000000" w:themeColor="text1"/>
        </w:rPr>
      </w:pPr>
      <w:r>
        <w:rPr>
          <w:rFonts w:cstheme="minorHAnsi"/>
          <w:color w:val="000000" w:themeColor="text1"/>
        </w:rPr>
        <w:t xml:space="preserve">Industrial Relations Commission of New South Wales (2021b) </w:t>
      </w:r>
      <w:r w:rsidRPr="00982DD8">
        <w:rPr>
          <w:rFonts w:eastAsia="Times New Roman" w:cstheme="minorHAnsi"/>
          <w:i/>
          <w:iCs/>
          <w:color w:val="000000" w:themeColor="text1"/>
          <w:lang w:eastAsia="en-GB"/>
        </w:rPr>
        <w:t>Local Government Aged and Disability Home Care Award</w:t>
      </w:r>
      <w:r w:rsidR="00982DD8">
        <w:rPr>
          <w:rFonts w:eastAsia="Times New Roman" w:cstheme="minorHAnsi"/>
          <w:i/>
          <w:iCs/>
          <w:color w:val="000000" w:themeColor="text1"/>
          <w:lang w:eastAsia="en-GB"/>
        </w:rPr>
        <w:t>.</w:t>
      </w:r>
    </w:p>
    <w:p w14:paraId="41183B7B" w14:textId="4518A21F" w:rsidR="0068537B" w:rsidRPr="00254A9A" w:rsidRDefault="0068537B" w:rsidP="00CA156A">
      <w:pPr>
        <w:ind w:left="426" w:hanging="426"/>
        <w:outlineLvl w:val="2"/>
        <w:rPr>
          <w:rFonts w:cstheme="minorHAnsi"/>
          <w:color w:val="000000" w:themeColor="text1"/>
        </w:rPr>
      </w:pPr>
      <w:r w:rsidRPr="00254A9A">
        <w:rPr>
          <w:rFonts w:cstheme="minorHAnsi"/>
          <w:color w:val="000000" w:themeColor="text1"/>
        </w:rPr>
        <w:t xml:space="preserve">Jenkins A, Braithwaite J. </w:t>
      </w:r>
      <w:r w:rsidR="00982DD8">
        <w:rPr>
          <w:rFonts w:cstheme="minorHAnsi"/>
          <w:color w:val="000000" w:themeColor="text1"/>
        </w:rPr>
        <w:t>(1993) “</w:t>
      </w:r>
      <w:r w:rsidRPr="00254A9A">
        <w:rPr>
          <w:rFonts w:cstheme="minorHAnsi"/>
          <w:color w:val="000000" w:themeColor="text1"/>
        </w:rPr>
        <w:t>Profits, pressure and corporate law breaking</w:t>
      </w:r>
      <w:r w:rsidR="00982DD8">
        <w:rPr>
          <w:rFonts w:cstheme="minorHAnsi"/>
          <w:color w:val="000000" w:themeColor="text1"/>
        </w:rPr>
        <w:t>”,</w:t>
      </w:r>
      <w:r w:rsidRPr="00254A9A">
        <w:rPr>
          <w:rFonts w:cstheme="minorHAnsi"/>
          <w:color w:val="000000" w:themeColor="text1"/>
        </w:rPr>
        <w:t xml:space="preserve"> </w:t>
      </w:r>
      <w:r w:rsidRPr="00982DD8">
        <w:rPr>
          <w:rFonts w:cstheme="minorHAnsi"/>
          <w:i/>
          <w:iCs/>
          <w:color w:val="000000" w:themeColor="text1"/>
        </w:rPr>
        <w:t>Crime, Law and Social Change</w:t>
      </w:r>
      <w:r w:rsidR="00982DD8">
        <w:rPr>
          <w:rFonts w:cstheme="minorHAnsi"/>
          <w:color w:val="000000" w:themeColor="text1"/>
        </w:rPr>
        <w:t>,</w:t>
      </w:r>
      <w:r w:rsidR="00982DD8" w:rsidRPr="00254A9A">
        <w:rPr>
          <w:rFonts w:cstheme="minorHAnsi"/>
          <w:color w:val="000000" w:themeColor="text1"/>
        </w:rPr>
        <w:t xml:space="preserve"> </w:t>
      </w:r>
      <w:r w:rsidRPr="00254A9A">
        <w:rPr>
          <w:rFonts w:cstheme="minorHAnsi"/>
          <w:color w:val="000000" w:themeColor="text1"/>
        </w:rPr>
        <w:t>20:221–</w:t>
      </w:r>
      <w:proofErr w:type="gramStart"/>
      <w:r w:rsidRPr="00254A9A">
        <w:rPr>
          <w:rFonts w:cstheme="minorHAnsi"/>
          <w:color w:val="000000" w:themeColor="text1"/>
        </w:rPr>
        <w:t>32 .</w:t>
      </w:r>
      <w:proofErr w:type="gramEnd"/>
      <w:r w:rsidRPr="00254A9A">
        <w:rPr>
          <w:rFonts w:cstheme="minorHAnsi"/>
          <w:color w:val="000000" w:themeColor="text1"/>
        </w:rPr>
        <w:t xml:space="preserve"> </w:t>
      </w:r>
    </w:p>
    <w:p w14:paraId="5226F5DC" w14:textId="36D2B859" w:rsidR="005E7737" w:rsidRPr="00254A9A" w:rsidRDefault="005E7737" w:rsidP="00CA156A">
      <w:pPr>
        <w:ind w:left="426" w:hanging="426"/>
        <w:outlineLvl w:val="2"/>
        <w:rPr>
          <w:rFonts w:cstheme="minorHAnsi"/>
        </w:rPr>
      </w:pPr>
      <w:r w:rsidRPr="00254A9A">
        <w:rPr>
          <w:rFonts w:cstheme="minorHAnsi"/>
          <w:color w:val="2A2A2A"/>
          <w:shd w:val="clear" w:color="auto" w:fill="FFFFFF"/>
        </w:rPr>
        <w:t xml:space="preserve">Ellis </w:t>
      </w:r>
      <w:r w:rsidR="00982DD8">
        <w:rPr>
          <w:rFonts w:cstheme="minorHAnsi"/>
          <w:color w:val="2A2A2A"/>
          <w:shd w:val="clear" w:color="auto" w:fill="FFFFFF"/>
        </w:rPr>
        <w:t xml:space="preserve">J.M., </w:t>
      </w:r>
      <w:r w:rsidRPr="00254A9A">
        <w:rPr>
          <w:rFonts w:cstheme="minorHAnsi"/>
          <w:color w:val="2A2A2A"/>
          <w:shd w:val="clear" w:color="auto" w:fill="FFFFFF"/>
        </w:rPr>
        <w:t>Howe</w:t>
      </w:r>
      <w:r w:rsidR="00982DD8">
        <w:rPr>
          <w:rFonts w:cstheme="minorHAnsi"/>
          <w:color w:val="2A2A2A"/>
          <w:shd w:val="clear" w:color="auto" w:fill="FFFFFF"/>
        </w:rPr>
        <w:t xml:space="preserve"> A. (2010)</w:t>
      </w:r>
      <w:r w:rsidRPr="00254A9A">
        <w:rPr>
          <w:rFonts w:cstheme="minorHAnsi"/>
          <w:color w:val="2A2A2A"/>
          <w:shd w:val="clear" w:color="auto" w:fill="FFFFFF"/>
        </w:rPr>
        <w:t xml:space="preserve"> </w:t>
      </w:r>
      <w:r w:rsidR="00982DD8">
        <w:rPr>
          <w:rFonts w:cstheme="minorHAnsi"/>
          <w:color w:val="2A2A2A"/>
          <w:shd w:val="clear" w:color="auto" w:fill="FFFFFF"/>
        </w:rPr>
        <w:t>“</w:t>
      </w:r>
      <w:r w:rsidRPr="00254A9A">
        <w:rPr>
          <w:rFonts w:cstheme="minorHAnsi"/>
          <w:color w:val="2A2A2A"/>
          <w:shd w:val="clear" w:color="auto" w:fill="FFFFFF"/>
        </w:rPr>
        <w:t>The role of sanctions in Australia's residential aged care quality assurance system</w:t>
      </w:r>
      <w:r w:rsidR="00982DD8">
        <w:rPr>
          <w:rFonts w:cstheme="minorHAnsi"/>
          <w:color w:val="2A2A2A"/>
          <w:shd w:val="clear" w:color="auto" w:fill="FFFFFF"/>
        </w:rPr>
        <w:t>”</w:t>
      </w:r>
      <w:r w:rsidRPr="00254A9A">
        <w:rPr>
          <w:rFonts w:cstheme="minorHAnsi"/>
          <w:color w:val="2A2A2A"/>
          <w:shd w:val="clear" w:color="auto" w:fill="FFFFFF"/>
        </w:rPr>
        <w:t>,</w:t>
      </w:r>
      <w:r w:rsidRPr="00254A9A">
        <w:rPr>
          <w:rStyle w:val="apple-converted-space"/>
          <w:rFonts w:cstheme="minorHAnsi"/>
          <w:color w:val="2A2A2A"/>
          <w:shd w:val="clear" w:color="auto" w:fill="FFFFFF"/>
        </w:rPr>
        <w:t> </w:t>
      </w:r>
      <w:r w:rsidRPr="00254A9A">
        <w:rPr>
          <w:rStyle w:val="Emphasis"/>
          <w:rFonts w:cstheme="minorHAnsi"/>
          <w:color w:val="2A2A2A"/>
          <w:bdr w:val="none" w:sz="0" w:space="0" w:color="auto" w:frame="1"/>
        </w:rPr>
        <w:t>International Journal for Quality in Health Care</w:t>
      </w:r>
      <w:r w:rsidRPr="00254A9A">
        <w:rPr>
          <w:rFonts w:cstheme="minorHAnsi"/>
          <w:color w:val="2A2A2A"/>
          <w:shd w:val="clear" w:color="auto" w:fill="FFFFFF"/>
        </w:rPr>
        <w:t>, 22</w:t>
      </w:r>
      <w:r w:rsidR="00982DD8">
        <w:rPr>
          <w:rFonts w:cstheme="minorHAnsi"/>
          <w:color w:val="2A2A2A"/>
          <w:shd w:val="clear" w:color="auto" w:fill="FFFFFF"/>
        </w:rPr>
        <w:t>(</w:t>
      </w:r>
      <w:r w:rsidRPr="00254A9A">
        <w:rPr>
          <w:rFonts w:cstheme="minorHAnsi"/>
          <w:color w:val="2A2A2A"/>
          <w:shd w:val="clear" w:color="auto" w:fill="FFFFFF"/>
        </w:rPr>
        <w:t>6</w:t>
      </w:r>
      <w:r w:rsidR="00982DD8">
        <w:rPr>
          <w:rFonts w:cstheme="minorHAnsi"/>
          <w:color w:val="2A2A2A"/>
          <w:shd w:val="clear" w:color="auto" w:fill="FFFFFF"/>
        </w:rPr>
        <w:t>):</w:t>
      </w:r>
      <w:r w:rsidRPr="00254A9A">
        <w:rPr>
          <w:rFonts w:cstheme="minorHAnsi"/>
          <w:color w:val="2A2A2A"/>
          <w:shd w:val="clear" w:color="auto" w:fill="FFFFFF"/>
        </w:rPr>
        <w:t>452–46</w:t>
      </w:r>
      <w:r w:rsidR="00982DD8">
        <w:rPr>
          <w:rFonts w:cstheme="minorHAnsi"/>
          <w:color w:val="2A2A2A"/>
          <w:shd w:val="clear" w:color="auto" w:fill="FFFFFF"/>
        </w:rPr>
        <w:t>.</w:t>
      </w:r>
      <w:r w:rsidRPr="00254A9A">
        <w:rPr>
          <w:rFonts w:cstheme="minorHAnsi"/>
        </w:rPr>
        <w:t xml:space="preserve"> </w:t>
      </w:r>
    </w:p>
    <w:p w14:paraId="1E870412" w14:textId="28678191" w:rsidR="0068537B" w:rsidRPr="000F1983" w:rsidRDefault="0068537B" w:rsidP="00CA156A">
      <w:pPr>
        <w:ind w:left="426" w:hanging="426"/>
        <w:outlineLvl w:val="2"/>
        <w:rPr>
          <w:rFonts w:cstheme="minorHAnsi"/>
          <w:color w:val="000000" w:themeColor="text1"/>
        </w:rPr>
      </w:pPr>
      <w:r w:rsidRPr="00254A9A">
        <w:rPr>
          <w:rFonts w:cstheme="minorHAnsi"/>
          <w:color w:val="000000" w:themeColor="text1"/>
        </w:rPr>
        <w:lastRenderedPageBreak/>
        <w:t>King D.</w:t>
      </w:r>
      <w:r w:rsidR="00982DD8">
        <w:rPr>
          <w:rFonts w:cstheme="minorHAnsi"/>
          <w:color w:val="000000" w:themeColor="text1"/>
        </w:rPr>
        <w:t>,</w:t>
      </w:r>
      <w:r w:rsidRPr="00254A9A">
        <w:rPr>
          <w:rFonts w:cstheme="minorHAnsi"/>
          <w:color w:val="000000" w:themeColor="text1"/>
        </w:rPr>
        <w:t xml:space="preserve"> Martin</w:t>
      </w:r>
      <w:r w:rsidR="00982DD8">
        <w:rPr>
          <w:rFonts w:cstheme="minorHAnsi"/>
          <w:color w:val="000000" w:themeColor="text1"/>
        </w:rPr>
        <w:t xml:space="preserve"> B.</w:t>
      </w:r>
      <w:r w:rsidRPr="00254A9A">
        <w:rPr>
          <w:rFonts w:cstheme="minorHAnsi"/>
          <w:color w:val="000000" w:themeColor="text1"/>
        </w:rPr>
        <w:t xml:space="preserve"> </w:t>
      </w:r>
      <w:r w:rsidR="00982DD8">
        <w:rPr>
          <w:rFonts w:cstheme="minorHAnsi"/>
          <w:color w:val="000000" w:themeColor="text1"/>
        </w:rPr>
        <w:t>(</w:t>
      </w:r>
      <w:r w:rsidRPr="00254A9A">
        <w:rPr>
          <w:rFonts w:cstheme="minorHAnsi"/>
          <w:color w:val="000000" w:themeColor="text1"/>
        </w:rPr>
        <w:t>2009</w:t>
      </w:r>
      <w:r w:rsidR="00982DD8">
        <w:rPr>
          <w:rFonts w:cstheme="minorHAnsi"/>
          <w:color w:val="000000" w:themeColor="text1"/>
        </w:rPr>
        <w:t>)</w:t>
      </w:r>
      <w:r w:rsidRPr="00254A9A">
        <w:rPr>
          <w:rFonts w:cstheme="minorHAnsi"/>
          <w:color w:val="000000" w:themeColor="text1"/>
        </w:rPr>
        <w:t xml:space="preserve"> “Caring for profit? The impact of for-profit providers on the quality of employment in paid care,”</w:t>
      </w:r>
      <w:r w:rsidR="00982DD8">
        <w:rPr>
          <w:rFonts w:cstheme="minorHAnsi"/>
          <w:color w:val="000000" w:themeColor="text1"/>
        </w:rPr>
        <w:t xml:space="preserve"> </w:t>
      </w:r>
      <w:r w:rsidRPr="00254A9A">
        <w:rPr>
          <w:rFonts w:cstheme="minorHAnsi"/>
          <w:color w:val="000000" w:themeColor="text1"/>
        </w:rPr>
        <w:t xml:space="preserve">in D. King and G. Meagher (eds.), </w:t>
      </w:r>
      <w:r w:rsidRPr="00254A9A">
        <w:rPr>
          <w:rFonts w:cstheme="minorHAnsi"/>
          <w:i/>
          <w:iCs/>
          <w:color w:val="000000" w:themeColor="text1"/>
        </w:rPr>
        <w:t xml:space="preserve">Paid Care in </w:t>
      </w:r>
      <w:r w:rsidRPr="000F1983">
        <w:rPr>
          <w:rFonts w:cstheme="minorHAnsi"/>
          <w:i/>
          <w:iCs/>
          <w:color w:val="000000" w:themeColor="text1"/>
        </w:rPr>
        <w:t>Australia: Politics, Profits, Practices</w:t>
      </w:r>
      <w:r w:rsidRPr="000F1983">
        <w:rPr>
          <w:rFonts w:cstheme="minorHAnsi"/>
          <w:color w:val="000000" w:themeColor="text1"/>
        </w:rPr>
        <w:t>. Sydney: Sydney University Press.</w:t>
      </w:r>
    </w:p>
    <w:p w14:paraId="2E6CB438" w14:textId="2038BEAC" w:rsidR="00527F88" w:rsidRDefault="00527F88" w:rsidP="00CA156A">
      <w:pPr>
        <w:ind w:left="426" w:hanging="426"/>
        <w:outlineLvl w:val="2"/>
        <w:rPr>
          <w:rFonts w:cstheme="minorHAnsi"/>
          <w:color w:val="000000" w:themeColor="text1"/>
        </w:rPr>
      </w:pPr>
      <w:r>
        <w:rPr>
          <w:rFonts w:cstheme="minorHAnsi"/>
          <w:color w:val="000000" w:themeColor="text1"/>
        </w:rPr>
        <w:t xml:space="preserve">Lunn, S. (2023) Seven in 10 nursing homes operating at a loss, </w:t>
      </w:r>
      <w:r w:rsidRPr="005F31B1">
        <w:rPr>
          <w:rFonts w:cstheme="minorHAnsi"/>
          <w:i/>
          <w:iCs/>
          <w:color w:val="000000" w:themeColor="text1"/>
        </w:rPr>
        <w:t>The Australian</w:t>
      </w:r>
      <w:r>
        <w:rPr>
          <w:rFonts w:cstheme="minorHAnsi"/>
          <w:color w:val="000000" w:themeColor="text1"/>
        </w:rPr>
        <w:t xml:space="preserve"> 6</w:t>
      </w:r>
      <w:r w:rsidRPr="00527F88">
        <w:rPr>
          <w:rFonts w:cstheme="minorHAnsi"/>
          <w:color w:val="000000" w:themeColor="text1"/>
          <w:vertAlign w:val="superscript"/>
        </w:rPr>
        <w:t>th</w:t>
      </w:r>
      <w:r>
        <w:rPr>
          <w:rFonts w:cstheme="minorHAnsi"/>
          <w:color w:val="000000" w:themeColor="text1"/>
        </w:rPr>
        <w:t xml:space="preserve"> January 2023, available at: </w:t>
      </w:r>
      <w:hyperlink r:id="rId10" w:history="1">
        <w:r w:rsidRPr="00E34C04">
          <w:rPr>
            <w:rStyle w:val="Hyperlink"/>
            <w:rFonts w:cstheme="minorHAnsi"/>
          </w:rPr>
          <w:t>https://www.theaustralian.com.au/nation/seven-in-10-nursing-homes-operating-at-a-loss/news-story/07742ef6772eb728dcb4594525f14a34</w:t>
        </w:r>
      </w:hyperlink>
      <w:r w:rsidR="005F31B1">
        <w:rPr>
          <w:rFonts w:cstheme="minorHAnsi"/>
          <w:color w:val="000000" w:themeColor="text1"/>
        </w:rPr>
        <w:t>.</w:t>
      </w:r>
      <w:r>
        <w:rPr>
          <w:rFonts w:cstheme="minorHAnsi"/>
          <w:color w:val="000000" w:themeColor="text1"/>
        </w:rPr>
        <w:t xml:space="preserve"> </w:t>
      </w:r>
    </w:p>
    <w:p w14:paraId="124F2EF9" w14:textId="3BF7856E" w:rsidR="000F1983" w:rsidRDefault="000F1983" w:rsidP="00CA156A">
      <w:pPr>
        <w:ind w:left="426" w:hanging="426"/>
        <w:outlineLvl w:val="2"/>
        <w:rPr>
          <w:rFonts w:cstheme="minorHAnsi"/>
          <w:color w:val="000000" w:themeColor="text1"/>
        </w:rPr>
      </w:pPr>
      <w:r>
        <w:rPr>
          <w:rFonts w:cstheme="minorHAnsi"/>
          <w:color w:val="000000" w:themeColor="text1"/>
        </w:rPr>
        <w:t xml:space="preserve">National Skills Commission (2023) </w:t>
      </w:r>
      <w:r w:rsidRPr="005F31B1">
        <w:rPr>
          <w:rFonts w:cstheme="minorHAnsi"/>
          <w:i/>
          <w:iCs/>
          <w:color w:val="000000" w:themeColor="text1"/>
        </w:rPr>
        <w:t>Internet Vacancy Index – September 2022</w:t>
      </w:r>
      <w:r>
        <w:rPr>
          <w:rFonts w:cstheme="minorHAnsi"/>
          <w:color w:val="000000" w:themeColor="text1"/>
        </w:rPr>
        <w:t>, available at:</w:t>
      </w:r>
      <w:r w:rsidRPr="000F1983">
        <w:t xml:space="preserve"> </w:t>
      </w:r>
      <w:hyperlink r:id="rId11" w:anchor="Datadownloads" w:history="1">
        <w:r w:rsidRPr="00E34C04">
          <w:rPr>
            <w:rStyle w:val="Hyperlink"/>
            <w:rFonts w:cstheme="minorHAnsi"/>
          </w:rPr>
          <w:t>https://www.nationalskillscommission.gov.au/topics/internet-vacancy-index#Datadownloads</w:t>
        </w:r>
      </w:hyperlink>
      <w:r w:rsidR="005F31B1">
        <w:rPr>
          <w:rFonts w:cstheme="minorHAnsi"/>
          <w:color w:val="000000" w:themeColor="text1"/>
        </w:rPr>
        <w:t>.</w:t>
      </w:r>
      <w:r>
        <w:rPr>
          <w:rFonts w:cstheme="minorHAnsi"/>
          <w:color w:val="000000" w:themeColor="text1"/>
        </w:rPr>
        <w:t xml:space="preserve"> </w:t>
      </w:r>
    </w:p>
    <w:p w14:paraId="1141C369" w14:textId="7EBADE5A" w:rsidR="003C6995" w:rsidRPr="000F1983" w:rsidRDefault="0068537B" w:rsidP="00CA156A">
      <w:pPr>
        <w:ind w:left="426" w:hanging="426"/>
        <w:outlineLvl w:val="2"/>
        <w:rPr>
          <w:rFonts w:cstheme="minorHAnsi"/>
          <w:color w:val="000000" w:themeColor="text1"/>
        </w:rPr>
      </w:pPr>
      <w:r w:rsidRPr="000F1983">
        <w:rPr>
          <w:rFonts w:cstheme="minorHAnsi"/>
          <w:color w:val="000000" w:themeColor="text1"/>
        </w:rPr>
        <w:t>Ronald L</w:t>
      </w:r>
      <w:r w:rsidR="005F31B1">
        <w:rPr>
          <w:rFonts w:cstheme="minorHAnsi"/>
          <w:color w:val="000000" w:themeColor="text1"/>
        </w:rPr>
        <w:t>.</w:t>
      </w:r>
      <w:r w:rsidRPr="000F1983">
        <w:rPr>
          <w:rFonts w:cstheme="minorHAnsi"/>
          <w:color w:val="000000" w:themeColor="text1"/>
        </w:rPr>
        <w:t>A</w:t>
      </w:r>
      <w:r w:rsidR="005F31B1">
        <w:rPr>
          <w:rFonts w:cstheme="minorHAnsi"/>
          <w:color w:val="000000" w:themeColor="text1"/>
        </w:rPr>
        <w:t>.</w:t>
      </w:r>
      <w:r w:rsidRPr="000F1983">
        <w:rPr>
          <w:rFonts w:cstheme="minorHAnsi"/>
          <w:color w:val="000000" w:themeColor="text1"/>
        </w:rPr>
        <w:t>, McGregor M</w:t>
      </w:r>
      <w:r w:rsidR="005F31B1">
        <w:rPr>
          <w:rFonts w:cstheme="minorHAnsi"/>
          <w:color w:val="000000" w:themeColor="text1"/>
        </w:rPr>
        <w:t>.</w:t>
      </w:r>
      <w:r w:rsidRPr="000F1983">
        <w:rPr>
          <w:rFonts w:cstheme="minorHAnsi"/>
          <w:color w:val="000000" w:themeColor="text1"/>
        </w:rPr>
        <w:t>, Harrington C</w:t>
      </w:r>
      <w:r w:rsidR="005F31B1">
        <w:rPr>
          <w:rFonts w:cstheme="minorHAnsi"/>
          <w:color w:val="000000" w:themeColor="text1"/>
        </w:rPr>
        <w:t>.</w:t>
      </w:r>
      <w:r w:rsidRPr="000F1983">
        <w:rPr>
          <w:rFonts w:cstheme="minorHAnsi"/>
          <w:color w:val="000000" w:themeColor="text1"/>
        </w:rPr>
        <w:t>, Pollock A</w:t>
      </w:r>
      <w:r w:rsidR="005F31B1">
        <w:rPr>
          <w:rFonts w:cstheme="minorHAnsi"/>
          <w:color w:val="000000" w:themeColor="text1"/>
        </w:rPr>
        <w:t>.</w:t>
      </w:r>
      <w:r w:rsidRPr="000F1983">
        <w:rPr>
          <w:rFonts w:cstheme="minorHAnsi"/>
          <w:color w:val="000000" w:themeColor="text1"/>
        </w:rPr>
        <w:t xml:space="preserve">, </w:t>
      </w:r>
      <w:proofErr w:type="spellStart"/>
      <w:r w:rsidRPr="000F1983">
        <w:rPr>
          <w:rFonts w:cstheme="minorHAnsi"/>
          <w:color w:val="000000" w:themeColor="text1"/>
        </w:rPr>
        <w:t>Lexchin</w:t>
      </w:r>
      <w:proofErr w:type="spellEnd"/>
      <w:r w:rsidRPr="000F1983">
        <w:rPr>
          <w:rFonts w:cstheme="minorHAnsi"/>
          <w:color w:val="000000" w:themeColor="text1"/>
        </w:rPr>
        <w:t xml:space="preserve"> J. </w:t>
      </w:r>
      <w:r w:rsidR="005F31B1">
        <w:rPr>
          <w:rFonts w:cstheme="minorHAnsi"/>
          <w:color w:val="000000" w:themeColor="text1"/>
        </w:rPr>
        <w:t>(2016) “</w:t>
      </w:r>
      <w:r w:rsidRPr="000F1983">
        <w:rPr>
          <w:rFonts w:cstheme="minorHAnsi"/>
          <w:color w:val="000000" w:themeColor="text1"/>
        </w:rPr>
        <w:t>Observational evidence of for-profit delivery and inferior care: When is there eno</w:t>
      </w:r>
      <w:r w:rsidR="003C6995" w:rsidRPr="000F1983">
        <w:rPr>
          <w:rFonts w:cstheme="minorHAnsi"/>
          <w:color w:val="000000" w:themeColor="text1"/>
        </w:rPr>
        <w:t>ug</w:t>
      </w:r>
      <w:r w:rsidRPr="000F1983">
        <w:rPr>
          <w:rFonts w:cstheme="minorHAnsi"/>
          <w:color w:val="000000" w:themeColor="text1"/>
        </w:rPr>
        <w:t>h evidence for policy change?</w:t>
      </w:r>
      <w:r w:rsidR="005F31B1">
        <w:rPr>
          <w:rFonts w:cstheme="minorHAnsi"/>
          <w:color w:val="000000" w:themeColor="text1"/>
        </w:rPr>
        <w:t>”,</w:t>
      </w:r>
      <w:r w:rsidRPr="000F1983">
        <w:rPr>
          <w:rFonts w:cstheme="minorHAnsi"/>
          <w:color w:val="000000" w:themeColor="text1"/>
        </w:rPr>
        <w:t xml:space="preserve"> </w:t>
      </w:r>
      <w:proofErr w:type="spellStart"/>
      <w:r w:rsidRPr="005F31B1">
        <w:rPr>
          <w:rFonts w:cstheme="minorHAnsi"/>
          <w:i/>
          <w:iCs/>
          <w:color w:val="000000" w:themeColor="text1"/>
        </w:rPr>
        <w:t>PLoS</w:t>
      </w:r>
      <w:proofErr w:type="spellEnd"/>
      <w:r w:rsidRPr="005F31B1">
        <w:rPr>
          <w:rFonts w:cstheme="minorHAnsi"/>
          <w:i/>
          <w:iCs/>
          <w:color w:val="000000" w:themeColor="text1"/>
        </w:rPr>
        <w:t xml:space="preserve"> Med</w:t>
      </w:r>
      <w:r w:rsidR="005F31B1">
        <w:rPr>
          <w:rFonts w:cstheme="minorHAnsi"/>
          <w:color w:val="000000" w:themeColor="text1"/>
        </w:rPr>
        <w:t>,</w:t>
      </w:r>
      <w:r w:rsidRPr="000F1983">
        <w:rPr>
          <w:rFonts w:cstheme="minorHAnsi"/>
          <w:color w:val="000000" w:themeColor="text1"/>
        </w:rPr>
        <w:t xml:space="preserve"> 13:1–12.</w:t>
      </w:r>
    </w:p>
    <w:p w14:paraId="37F0174C" w14:textId="24A60CB2" w:rsidR="009078BA" w:rsidRPr="00254A9A" w:rsidRDefault="009078BA" w:rsidP="00CA156A">
      <w:pPr>
        <w:ind w:left="426" w:hanging="426"/>
        <w:outlineLvl w:val="2"/>
        <w:rPr>
          <w:rFonts w:cstheme="minorHAnsi"/>
        </w:rPr>
      </w:pPr>
      <w:r w:rsidRPr="00254A9A">
        <w:rPr>
          <w:rFonts w:cstheme="minorHAnsi"/>
        </w:rPr>
        <w:t xml:space="preserve">Royal Commission into Aged Care Quality and Safety (2021) </w:t>
      </w:r>
      <w:r w:rsidRPr="005F31B1">
        <w:rPr>
          <w:rFonts w:cstheme="minorHAnsi"/>
          <w:i/>
          <w:iCs/>
        </w:rPr>
        <w:t>Final Report Volume 2</w:t>
      </w:r>
      <w:r w:rsidRPr="00254A9A">
        <w:rPr>
          <w:rFonts w:cstheme="minorHAnsi"/>
        </w:rPr>
        <w:t xml:space="preserve">, available at: </w:t>
      </w:r>
      <w:hyperlink r:id="rId12" w:history="1">
        <w:r w:rsidRPr="00254A9A">
          <w:rPr>
            <w:rStyle w:val="Hyperlink"/>
            <w:rFonts w:cstheme="minorHAnsi"/>
          </w:rPr>
          <w:t>https://www.royalcommission.gov.au/system/files/2021-03/final-report-volume-2.pdf</w:t>
        </w:r>
      </w:hyperlink>
      <w:r w:rsidRPr="00254A9A">
        <w:rPr>
          <w:rFonts w:cstheme="minorHAnsi"/>
        </w:rPr>
        <w:t xml:space="preserve">  </w:t>
      </w:r>
    </w:p>
    <w:p w14:paraId="17BA6C89" w14:textId="4B312759" w:rsidR="00FB492F" w:rsidRDefault="00FB492F" w:rsidP="00CA156A">
      <w:pPr>
        <w:pStyle w:val="Default"/>
        <w:ind w:left="426" w:hanging="426"/>
        <w:rPr>
          <w:color w:val="000000" w:themeColor="text1"/>
          <w:sz w:val="48"/>
          <w:szCs w:val="48"/>
        </w:rPr>
      </w:pPr>
      <w:proofErr w:type="spellStart"/>
      <w:r>
        <w:rPr>
          <w:rFonts w:cstheme="minorHAnsi"/>
        </w:rPr>
        <w:t>StewartBrown</w:t>
      </w:r>
      <w:proofErr w:type="spellEnd"/>
      <w:r>
        <w:rPr>
          <w:rFonts w:cstheme="minorHAnsi"/>
        </w:rPr>
        <w:t xml:space="preserve"> (2023) </w:t>
      </w:r>
      <w:r w:rsidRPr="005F31B1">
        <w:rPr>
          <w:i/>
          <w:iCs/>
          <w:color w:val="000000" w:themeColor="text1"/>
        </w:rPr>
        <w:t>Aged Care Financial Performance Survey Report – September 2022</w:t>
      </w:r>
      <w:r>
        <w:rPr>
          <w:color w:val="000000" w:themeColor="text1"/>
        </w:rPr>
        <w:t>.</w:t>
      </w:r>
      <w:r w:rsidRPr="00FB492F">
        <w:rPr>
          <w:color w:val="000000" w:themeColor="text1"/>
          <w:sz w:val="48"/>
          <w:szCs w:val="48"/>
        </w:rPr>
        <w:t xml:space="preserve"> </w:t>
      </w:r>
    </w:p>
    <w:p w14:paraId="129EF511" w14:textId="100CCA34" w:rsidR="00494688" w:rsidRPr="00FB492F" w:rsidRDefault="00494688" w:rsidP="00CA156A">
      <w:pPr>
        <w:pStyle w:val="Default"/>
        <w:ind w:left="426" w:hanging="426"/>
        <w:rPr>
          <w:color w:val="000000" w:themeColor="text1"/>
        </w:rPr>
      </w:pPr>
      <w:r w:rsidRPr="00254A9A">
        <w:rPr>
          <w:rFonts w:asciiTheme="minorHAnsi" w:hAnsiTheme="minorHAnsi" w:cstheme="minorHAnsi"/>
        </w:rPr>
        <w:t xml:space="preserve">Yong, J., Yang, O., Zhang, Y., and Scott, A. (2021) “Ownership, quality and prices of nursing homes in Australia: Why greater private sector participation did not improve </w:t>
      </w:r>
      <w:r w:rsidRPr="00254A9A">
        <w:rPr>
          <w:rFonts w:asciiTheme="minorHAnsi" w:hAnsiTheme="minorHAnsi" w:cstheme="minorHAnsi"/>
          <w:color w:val="000000" w:themeColor="text1"/>
        </w:rPr>
        <w:t xml:space="preserve">performance, </w:t>
      </w:r>
      <w:r w:rsidRPr="00254A9A">
        <w:rPr>
          <w:rFonts w:asciiTheme="minorHAnsi" w:hAnsiTheme="minorHAnsi" w:cstheme="minorHAnsi"/>
          <w:i/>
          <w:iCs/>
          <w:color w:val="000000" w:themeColor="text1"/>
        </w:rPr>
        <w:t>Health Policy</w:t>
      </w:r>
      <w:r w:rsidRPr="00254A9A">
        <w:rPr>
          <w:rFonts w:asciiTheme="minorHAnsi" w:hAnsiTheme="minorHAnsi" w:cstheme="minorHAnsi"/>
          <w:color w:val="000000" w:themeColor="text1"/>
        </w:rPr>
        <w:t>, 125 (11), pp. 1475-1481</w:t>
      </w:r>
      <w:r w:rsidR="005F31B1">
        <w:rPr>
          <w:rFonts w:asciiTheme="minorHAnsi" w:hAnsiTheme="minorHAnsi" w:cstheme="minorHAnsi"/>
          <w:color w:val="000000" w:themeColor="text1"/>
        </w:rPr>
        <w:t>.</w:t>
      </w:r>
    </w:p>
    <w:p w14:paraId="6E69A440" w14:textId="77777777" w:rsidR="009078BA" w:rsidRPr="0068537B" w:rsidRDefault="009078BA" w:rsidP="00CA156A">
      <w:pPr>
        <w:ind w:left="426" w:hanging="426"/>
        <w:outlineLvl w:val="2"/>
        <w:rPr>
          <w:rFonts w:eastAsia="Times New Roman" w:cstheme="minorHAnsi"/>
          <w:color w:val="000000" w:themeColor="text1"/>
          <w:lang w:eastAsia="en-GB"/>
        </w:rPr>
      </w:pPr>
    </w:p>
    <w:p w14:paraId="45E0E3FE" w14:textId="32C140B2" w:rsidR="00F032F7" w:rsidRPr="0068537B" w:rsidRDefault="00F032F7" w:rsidP="00CA156A">
      <w:pPr>
        <w:pStyle w:val="ListParagraph"/>
        <w:ind w:left="426" w:hanging="426"/>
        <w:outlineLvl w:val="2"/>
        <w:rPr>
          <w:rFonts w:eastAsia="Times New Roman" w:cstheme="minorHAnsi"/>
          <w:color w:val="000000" w:themeColor="text1"/>
          <w:lang w:eastAsia="en-GB"/>
        </w:rPr>
      </w:pPr>
    </w:p>
    <w:sectPr w:rsidR="00F032F7" w:rsidRPr="00685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4162"/>
    <w:multiLevelType w:val="hybridMultilevel"/>
    <w:tmpl w:val="8C6A3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51C2A"/>
    <w:multiLevelType w:val="hybridMultilevel"/>
    <w:tmpl w:val="AF54D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22E2C"/>
    <w:multiLevelType w:val="hybridMultilevel"/>
    <w:tmpl w:val="618E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F75F14"/>
    <w:multiLevelType w:val="hybridMultilevel"/>
    <w:tmpl w:val="6652CA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154194"/>
    <w:multiLevelType w:val="hybridMultilevel"/>
    <w:tmpl w:val="36BC21DE"/>
    <w:lvl w:ilvl="0" w:tplc="07A20F10">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286F01"/>
    <w:multiLevelType w:val="multilevel"/>
    <w:tmpl w:val="4E2088B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132325"/>
    <w:multiLevelType w:val="hybridMultilevel"/>
    <w:tmpl w:val="AD1A4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7234919">
    <w:abstractNumId w:val="1"/>
  </w:num>
  <w:num w:numId="2" w16cid:durableId="330724061">
    <w:abstractNumId w:val="0"/>
  </w:num>
  <w:num w:numId="3" w16cid:durableId="1596134930">
    <w:abstractNumId w:val="5"/>
  </w:num>
  <w:num w:numId="4" w16cid:durableId="1673485445">
    <w:abstractNumId w:val="2"/>
  </w:num>
  <w:num w:numId="5" w16cid:durableId="1583026882">
    <w:abstractNumId w:val="6"/>
  </w:num>
  <w:num w:numId="6" w16cid:durableId="1618759811">
    <w:abstractNumId w:val="4"/>
  </w:num>
  <w:num w:numId="7" w16cid:durableId="1438864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08"/>
    <w:rsid w:val="000048F2"/>
    <w:rsid w:val="00007949"/>
    <w:rsid w:val="00020700"/>
    <w:rsid w:val="00021166"/>
    <w:rsid w:val="0002146C"/>
    <w:rsid w:val="0003683B"/>
    <w:rsid w:val="0003688C"/>
    <w:rsid w:val="00041AA4"/>
    <w:rsid w:val="00043687"/>
    <w:rsid w:val="00046534"/>
    <w:rsid w:val="00046A9F"/>
    <w:rsid w:val="0007543A"/>
    <w:rsid w:val="0008053B"/>
    <w:rsid w:val="00091B68"/>
    <w:rsid w:val="00094B26"/>
    <w:rsid w:val="00094E86"/>
    <w:rsid w:val="00094F61"/>
    <w:rsid w:val="000A4FF4"/>
    <w:rsid w:val="000C2BEB"/>
    <w:rsid w:val="000C331F"/>
    <w:rsid w:val="000C47EC"/>
    <w:rsid w:val="000D78F5"/>
    <w:rsid w:val="000F1983"/>
    <w:rsid w:val="000F22DB"/>
    <w:rsid w:val="000F411D"/>
    <w:rsid w:val="000F47D4"/>
    <w:rsid w:val="000F5193"/>
    <w:rsid w:val="00107F68"/>
    <w:rsid w:val="00113552"/>
    <w:rsid w:val="0011470C"/>
    <w:rsid w:val="00117EFB"/>
    <w:rsid w:val="00121D07"/>
    <w:rsid w:val="00150F70"/>
    <w:rsid w:val="00162DFE"/>
    <w:rsid w:val="00165292"/>
    <w:rsid w:val="00173A1D"/>
    <w:rsid w:val="001900DE"/>
    <w:rsid w:val="00191759"/>
    <w:rsid w:val="001B66BA"/>
    <w:rsid w:val="001C0C4E"/>
    <w:rsid w:val="001C38BF"/>
    <w:rsid w:val="001C4430"/>
    <w:rsid w:val="001D3F77"/>
    <w:rsid w:val="001E72E8"/>
    <w:rsid w:val="001E76A8"/>
    <w:rsid w:val="001F76C9"/>
    <w:rsid w:val="00201413"/>
    <w:rsid w:val="002054DE"/>
    <w:rsid w:val="00213418"/>
    <w:rsid w:val="00216264"/>
    <w:rsid w:val="002216EC"/>
    <w:rsid w:val="00230321"/>
    <w:rsid w:val="00233F5A"/>
    <w:rsid w:val="00245B82"/>
    <w:rsid w:val="002501A2"/>
    <w:rsid w:val="00254A9A"/>
    <w:rsid w:val="0025738E"/>
    <w:rsid w:val="00262E5C"/>
    <w:rsid w:val="0026641E"/>
    <w:rsid w:val="0027311C"/>
    <w:rsid w:val="00284359"/>
    <w:rsid w:val="00284994"/>
    <w:rsid w:val="00287FE4"/>
    <w:rsid w:val="00294BE3"/>
    <w:rsid w:val="002B065D"/>
    <w:rsid w:val="002B4271"/>
    <w:rsid w:val="002C0402"/>
    <w:rsid w:val="002C1779"/>
    <w:rsid w:val="002C1805"/>
    <w:rsid w:val="002C2005"/>
    <w:rsid w:val="002D1402"/>
    <w:rsid w:val="002D492C"/>
    <w:rsid w:val="002E0521"/>
    <w:rsid w:val="002E0780"/>
    <w:rsid w:val="0030096D"/>
    <w:rsid w:val="00300D28"/>
    <w:rsid w:val="00301272"/>
    <w:rsid w:val="0030217A"/>
    <w:rsid w:val="003054DA"/>
    <w:rsid w:val="00305501"/>
    <w:rsid w:val="003066A7"/>
    <w:rsid w:val="003109CB"/>
    <w:rsid w:val="00323F72"/>
    <w:rsid w:val="003246D6"/>
    <w:rsid w:val="0032541D"/>
    <w:rsid w:val="003379F4"/>
    <w:rsid w:val="003447C0"/>
    <w:rsid w:val="00347E22"/>
    <w:rsid w:val="00350146"/>
    <w:rsid w:val="00364822"/>
    <w:rsid w:val="00382B4F"/>
    <w:rsid w:val="00384D1E"/>
    <w:rsid w:val="0039547A"/>
    <w:rsid w:val="00397C48"/>
    <w:rsid w:val="003A2000"/>
    <w:rsid w:val="003A4B46"/>
    <w:rsid w:val="003B2CAC"/>
    <w:rsid w:val="003C1BCB"/>
    <w:rsid w:val="003C46B4"/>
    <w:rsid w:val="003C6995"/>
    <w:rsid w:val="003D7FD6"/>
    <w:rsid w:val="003E15DF"/>
    <w:rsid w:val="003E3DA6"/>
    <w:rsid w:val="003E7FB9"/>
    <w:rsid w:val="003F1764"/>
    <w:rsid w:val="003F5199"/>
    <w:rsid w:val="003F7836"/>
    <w:rsid w:val="004017B5"/>
    <w:rsid w:val="00416ECF"/>
    <w:rsid w:val="00425996"/>
    <w:rsid w:val="00432A08"/>
    <w:rsid w:val="0043530A"/>
    <w:rsid w:val="0044462A"/>
    <w:rsid w:val="00454D07"/>
    <w:rsid w:val="00461AA8"/>
    <w:rsid w:val="00461FC4"/>
    <w:rsid w:val="004620DA"/>
    <w:rsid w:val="004630FF"/>
    <w:rsid w:val="0046474D"/>
    <w:rsid w:val="00466512"/>
    <w:rsid w:val="00467275"/>
    <w:rsid w:val="00467447"/>
    <w:rsid w:val="0047050D"/>
    <w:rsid w:val="00476D22"/>
    <w:rsid w:val="00484C63"/>
    <w:rsid w:val="00486FE3"/>
    <w:rsid w:val="0049075D"/>
    <w:rsid w:val="00494688"/>
    <w:rsid w:val="004D7F3C"/>
    <w:rsid w:val="004E16B5"/>
    <w:rsid w:val="004E6956"/>
    <w:rsid w:val="004F00C6"/>
    <w:rsid w:val="0050277A"/>
    <w:rsid w:val="00502F9E"/>
    <w:rsid w:val="00511BB2"/>
    <w:rsid w:val="00512BE9"/>
    <w:rsid w:val="00513310"/>
    <w:rsid w:val="00523BD2"/>
    <w:rsid w:val="00525CFE"/>
    <w:rsid w:val="00527F88"/>
    <w:rsid w:val="00534968"/>
    <w:rsid w:val="00535971"/>
    <w:rsid w:val="00555901"/>
    <w:rsid w:val="005604AE"/>
    <w:rsid w:val="00567E2D"/>
    <w:rsid w:val="0059539E"/>
    <w:rsid w:val="005A3240"/>
    <w:rsid w:val="005B5431"/>
    <w:rsid w:val="005B5B22"/>
    <w:rsid w:val="005C0C36"/>
    <w:rsid w:val="005C5CA5"/>
    <w:rsid w:val="005D347E"/>
    <w:rsid w:val="005D612C"/>
    <w:rsid w:val="005D7183"/>
    <w:rsid w:val="005E428E"/>
    <w:rsid w:val="005E615F"/>
    <w:rsid w:val="005E7737"/>
    <w:rsid w:val="005F1253"/>
    <w:rsid w:val="005F31B1"/>
    <w:rsid w:val="005F7EF1"/>
    <w:rsid w:val="0060465C"/>
    <w:rsid w:val="00615831"/>
    <w:rsid w:val="00623C06"/>
    <w:rsid w:val="00636D9D"/>
    <w:rsid w:val="006411D2"/>
    <w:rsid w:val="00671FC5"/>
    <w:rsid w:val="00675683"/>
    <w:rsid w:val="00683503"/>
    <w:rsid w:val="0068450C"/>
    <w:rsid w:val="0068537B"/>
    <w:rsid w:val="00685F15"/>
    <w:rsid w:val="006866E6"/>
    <w:rsid w:val="00690189"/>
    <w:rsid w:val="00690551"/>
    <w:rsid w:val="0069458F"/>
    <w:rsid w:val="006950CB"/>
    <w:rsid w:val="006961F2"/>
    <w:rsid w:val="00697BAE"/>
    <w:rsid w:val="00697F34"/>
    <w:rsid w:val="006A3A78"/>
    <w:rsid w:val="006B04F7"/>
    <w:rsid w:val="006B0690"/>
    <w:rsid w:val="006B3151"/>
    <w:rsid w:val="006B741D"/>
    <w:rsid w:val="006C1CF9"/>
    <w:rsid w:val="006C2252"/>
    <w:rsid w:val="006D5A11"/>
    <w:rsid w:val="006E21F3"/>
    <w:rsid w:val="006E70F0"/>
    <w:rsid w:val="006F1918"/>
    <w:rsid w:val="006F38AD"/>
    <w:rsid w:val="00703E0C"/>
    <w:rsid w:val="00706AEF"/>
    <w:rsid w:val="0071679B"/>
    <w:rsid w:val="00724068"/>
    <w:rsid w:val="0073351A"/>
    <w:rsid w:val="00735AD5"/>
    <w:rsid w:val="00737742"/>
    <w:rsid w:val="00741093"/>
    <w:rsid w:val="007637C2"/>
    <w:rsid w:val="00763E87"/>
    <w:rsid w:val="00770DCA"/>
    <w:rsid w:val="0077135C"/>
    <w:rsid w:val="00796ACF"/>
    <w:rsid w:val="007A64E7"/>
    <w:rsid w:val="007A661D"/>
    <w:rsid w:val="007A6FFF"/>
    <w:rsid w:val="007B5C23"/>
    <w:rsid w:val="007B6670"/>
    <w:rsid w:val="007C6F14"/>
    <w:rsid w:val="007D0F10"/>
    <w:rsid w:val="007E0F9D"/>
    <w:rsid w:val="007E6EAD"/>
    <w:rsid w:val="007F10F2"/>
    <w:rsid w:val="007F1A20"/>
    <w:rsid w:val="007F66B4"/>
    <w:rsid w:val="007F7BB7"/>
    <w:rsid w:val="00803600"/>
    <w:rsid w:val="00805BFC"/>
    <w:rsid w:val="00810D66"/>
    <w:rsid w:val="00812CD0"/>
    <w:rsid w:val="00817468"/>
    <w:rsid w:val="00823049"/>
    <w:rsid w:val="00827A9B"/>
    <w:rsid w:val="0083045B"/>
    <w:rsid w:val="00831480"/>
    <w:rsid w:val="0083187D"/>
    <w:rsid w:val="00835ED0"/>
    <w:rsid w:val="00836C5F"/>
    <w:rsid w:val="00843AE9"/>
    <w:rsid w:val="00853CFD"/>
    <w:rsid w:val="00854088"/>
    <w:rsid w:val="00861A72"/>
    <w:rsid w:val="008727CB"/>
    <w:rsid w:val="00875637"/>
    <w:rsid w:val="00884AF0"/>
    <w:rsid w:val="00896BE4"/>
    <w:rsid w:val="008A1749"/>
    <w:rsid w:val="008B0DF7"/>
    <w:rsid w:val="008B718C"/>
    <w:rsid w:val="008D3392"/>
    <w:rsid w:val="008D58A8"/>
    <w:rsid w:val="008E65E3"/>
    <w:rsid w:val="008E79EE"/>
    <w:rsid w:val="008F78C3"/>
    <w:rsid w:val="009078BA"/>
    <w:rsid w:val="009120EC"/>
    <w:rsid w:val="00912774"/>
    <w:rsid w:val="00914093"/>
    <w:rsid w:val="0091655D"/>
    <w:rsid w:val="00917559"/>
    <w:rsid w:val="00921665"/>
    <w:rsid w:val="00930906"/>
    <w:rsid w:val="0094599E"/>
    <w:rsid w:val="00945D45"/>
    <w:rsid w:val="00946A81"/>
    <w:rsid w:val="00946C05"/>
    <w:rsid w:val="00953E9E"/>
    <w:rsid w:val="00955BFC"/>
    <w:rsid w:val="0095730A"/>
    <w:rsid w:val="00957FF2"/>
    <w:rsid w:val="00962C60"/>
    <w:rsid w:val="00967599"/>
    <w:rsid w:val="00970B99"/>
    <w:rsid w:val="00972DDD"/>
    <w:rsid w:val="009752FF"/>
    <w:rsid w:val="0097535E"/>
    <w:rsid w:val="00982DD8"/>
    <w:rsid w:val="0099700B"/>
    <w:rsid w:val="00997418"/>
    <w:rsid w:val="009A0F58"/>
    <w:rsid w:val="009A6307"/>
    <w:rsid w:val="009A7FC9"/>
    <w:rsid w:val="009B0EBF"/>
    <w:rsid w:val="009B2F38"/>
    <w:rsid w:val="009B6004"/>
    <w:rsid w:val="009C2E06"/>
    <w:rsid w:val="009C3ECF"/>
    <w:rsid w:val="009C46AC"/>
    <w:rsid w:val="009C5E0E"/>
    <w:rsid w:val="009D1400"/>
    <w:rsid w:val="009D17FA"/>
    <w:rsid w:val="009D4ED1"/>
    <w:rsid w:val="009D6034"/>
    <w:rsid w:val="009E4AAA"/>
    <w:rsid w:val="009E577D"/>
    <w:rsid w:val="009F3209"/>
    <w:rsid w:val="009F3785"/>
    <w:rsid w:val="009F5AAC"/>
    <w:rsid w:val="009F7F32"/>
    <w:rsid w:val="00A10707"/>
    <w:rsid w:val="00A11226"/>
    <w:rsid w:val="00A171FA"/>
    <w:rsid w:val="00A2348F"/>
    <w:rsid w:val="00A2513F"/>
    <w:rsid w:val="00A37098"/>
    <w:rsid w:val="00A5161C"/>
    <w:rsid w:val="00A5416F"/>
    <w:rsid w:val="00A55B3A"/>
    <w:rsid w:val="00A61CEE"/>
    <w:rsid w:val="00A86A5D"/>
    <w:rsid w:val="00A87F32"/>
    <w:rsid w:val="00AA21C3"/>
    <w:rsid w:val="00AA5C93"/>
    <w:rsid w:val="00AC43C5"/>
    <w:rsid w:val="00AC572A"/>
    <w:rsid w:val="00AC7991"/>
    <w:rsid w:val="00AD020A"/>
    <w:rsid w:val="00AD04FE"/>
    <w:rsid w:val="00AD7A95"/>
    <w:rsid w:val="00AF216E"/>
    <w:rsid w:val="00AF44D9"/>
    <w:rsid w:val="00B02681"/>
    <w:rsid w:val="00B04C97"/>
    <w:rsid w:val="00B053E8"/>
    <w:rsid w:val="00B070C6"/>
    <w:rsid w:val="00B1050D"/>
    <w:rsid w:val="00B10529"/>
    <w:rsid w:val="00B14AF9"/>
    <w:rsid w:val="00B14E4D"/>
    <w:rsid w:val="00B202AC"/>
    <w:rsid w:val="00B2491E"/>
    <w:rsid w:val="00B274E3"/>
    <w:rsid w:val="00B35EB2"/>
    <w:rsid w:val="00B37A92"/>
    <w:rsid w:val="00B43E18"/>
    <w:rsid w:val="00B51C0A"/>
    <w:rsid w:val="00B77539"/>
    <w:rsid w:val="00B9276B"/>
    <w:rsid w:val="00B97104"/>
    <w:rsid w:val="00BA1652"/>
    <w:rsid w:val="00BA33A6"/>
    <w:rsid w:val="00BB2214"/>
    <w:rsid w:val="00BB59D8"/>
    <w:rsid w:val="00BD6E0A"/>
    <w:rsid w:val="00BD7FD5"/>
    <w:rsid w:val="00BE6F3C"/>
    <w:rsid w:val="00BE7A6F"/>
    <w:rsid w:val="00BF2654"/>
    <w:rsid w:val="00BF5182"/>
    <w:rsid w:val="00BF72B9"/>
    <w:rsid w:val="00C076E6"/>
    <w:rsid w:val="00C209C2"/>
    <w:rsid w:val="00C2179A"/>
    <w:rsid w:val="00C23E12"/>
    <w:rsid w:val="00C40D0E"/>
    <w:rsid w:val="00C41F80"/>
    <w:rsid w:val="00C4257E"/>
    <w:rsid w:val="00C42E47"/>
    <w:rsid w:val="00C47777"/>
    <w:rsid w:val="00C734F4"/>
    <w:rsid w:val="00C73505"/>
    <w:rsid w:val="00C90A81"/>
    <w:rsid w:val="00C95844"/>
    <w:rsid w:val="00CA156A"/>
    <w:rsid w:val="00CA3B4E"/>
    <w:rsid w:val="00CB043A"/>
    <w:rsid w:val="00CB4982"/>
    <w:rsid w:val="00CB63A9"/>
    <w:rsid w:val="00CD0C1E"/>
    <w:rsid w:val="00CE1312"/>
    <w:rsid w:val="00D150F8"/>
    <w:rsid w:val="00D16751"/>
    <w:rsid w:val="00D21F3F"/>
    <w:rsid w:val="00D222BB"/>
    <w:rsid w:val="00D310DD"/>
    <w:rsid w:val="00D34D7D"/>
    <w:rsid w:val="00D35B24"/>
    <w:rsid w:val="00D40E02"/>
    <w:rsid w:val="00D429EC"/>
    <w:rsid w:val="00D43A6E"/>
    <w:rsid w:val="00D54DC2"/>
    <w:rsid w:val="00D67DFA"/>
    <w:rsid w:val="00D67E48"/>
    <w:rsid w:val="00D71073"/>
    <w:rsid w:val="00D93643"/>
    <w:rsid w:val="00D96005"/>
    <w:rsid w:val="00DA4295"/>
    <w:rsid w:val="00DA5B7A"/>
    <w:rsid w:val="00DB1EF9"/>
    <w:rsid w:val="00DB677B"/>
    <w:rsid w:val="00DC4543"/>
    <w:rsid w:val="00DC7400"/>
    <w:rsid w:val="00DC7F0D"/>
    <w:rsid w:val="00DD4572"/>
    <w:rsid w:val="00DD5301"/>
    <w:rsid w:val="00DD5371"/>
    <w:rsid w:val="00DD573B"/>
    <w:rsid w:val="00DE0D6C"/>
    <w:rsid w:val="00DF4ACD"/>
    <w:rsid w:val="00DF65B6"/>
    <w:rsid w:val="00E00366"/>
    <w:rsid w:val="00E04DFD"/>
    <w:rsid w:val="00E1452C"/>
    <w:rsid w:val="00E17471"/>
    <w:rsid w:val="00E26279"/>
    <w:rsid w:val="00E46810"/>
    <w:rsid w:val="00E507FF"/>
    <w:rsid w:val="00E542DE"/>
    <w:rsid w:val="00E5627D"/>
    <w:rsid w:val="00E56E46"/>
    <w:rsid w:val="00E60399"/>
    <w:rsid w:val="00E64DA9"/>
    <w:rsid w:val="00E751E9"/>
    <w:rsid w:val="00E80594"/>
    <w:rsid w:val="00E8085D"/>
    <w:rsid w:val="00E87E57"/>
    <w:rsid w:val="00E930DD"/>
    <w:rsid w:val="00EB2414"/>
    <w:rsid w:val="00EB511A"/>
    <w:rsid w:val="00EB5745"/>
    <w:rsid w:val="00EC5C7B"/>
    <w:rsid w:val="00EC7468"/>
    <w:rsid w:val="00ED1C3E"/>
    <w:rsid w:val="00EF17AF"/>
    <w:rsid w:val="00EF3A8C"/>
    <w:rsid w:val="00F019DE"/>
    <w:rsid w:val="00F032F7"/>
    <w:rsid w:val="00F257B7"/>
    <w:rsid w:val="00F327F8"/>
    <w:rsid w:val="00F32EA4"/>
    <w:rsid w:val="00F33E35"/>
    <w:rsid w:val="00F3474C"/>
    <w:rsid w:val="00F348C1"/>
    <w:rsid w:val="00F50626"/>
    <w:rsid w:val="00F5100E"/>
    <w:rsid w:val="00F55E58"/>
    <w:rsid w:val="00F56E6B"/>
    <w:rsid w:val="00F6026C"/>
    <w:rsid w:val="00F60457"/>
    <w:rsid w:val="00F66118"/>
    <w:rsid w:val="00F82FAF"/>
    <w:rsid w:val="00F9111C"/>
    <w:rsid w:val="00F94AF2"/>
    <w:rsid w:val="00F9588C"/>
    <w:rsid w:val="00FA2492"/>
    <w:rsid w:val="00FA5641"/>
    <w:rsid w:val="00FA5E79"/>
    <w:rsid w:val="00FA7A83"/>
    <w:rsid w:val="00FB492F"/>
    <w:rsid w:val="00FC5287"/>
    <w:rsid w:val="00FD1261"/>
    <w:rsid w:val="00FD2C6B"/>
    <w:rsid w:val="00FD50EE"/>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A2A1"/>
  <w15:chartTrackingRefBased/>
  <w15:docId w15:val="{C8BA96B8-4C00-F54C-8516-A7564C3B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0F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05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9055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690551"/>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11"/>
    <w:pPr>
      <w:ind w:left="720"/>
      <w:contextualSpacing/>
    </w:pPr>
  </w:style>
  <w:style w:type="character" w:customStyle="1" w:styleId="Heading3Char">
    <w:name w:val="Heading 3 Char"/>
    <w:basedOn w:val="DefaultParagraphFont"/>
    <w:link w:val="Heading3"/>
    <w:uiPriority w:val="9"/>
    <w:rsid w:val="00690551"/>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690551"/>
    <w:rPr>
      <w:rFonts w:ascii="Times New Roman" w:eastAsia="Times New Roman" w:hAnsi="Times New Roman" w:cs="Times New Roman"/>
      <w:b/>
      <w:bCs/>
      <w:sz w:val="15"/>
      <w:szCs w:val="15"/>
      <w:lang w:eastAsia="en-GB"/>
    </w:rPr>
  </w:style>
  <w:style w:type="character" w:customStyle="1" w:styleId="Heading2Char">
    <w:name w:val="Heading 2 Char"/>
    <w:basedOn w:val="DefaultParagraphFont"/>
    <w:link w:val="Heading2"/>
    <w:uiPriority w:val="9"/>
    <w:semiHidden/>
    <w:rsid w:val="0069055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3683B"/>
    <w:rPr>
      <w:color w:val="0563C1" w:themeColor="hyperlink"/>
      <w:u w:val="single"/>
    </w:rPr>
  </w:style>
  <w:style w:type="character" w:styleId="UnresolvedMention">
    <w:name w:val="Unresolved Mention"/>
    <w:basedOn w:val="DefaultParagraphFont"/>
    <w:uiPriority w:val="99"/>
    <w:semiHidden/>
    <w:unhideWhenUsed/>
    <w:rsid w:val="0003683B"/>
    <w:rPr>
      <w:color w:val="605E5C"/>
      <w:shd w:val="clear" w:color="auto" w:fill="E1DFDD"/>
    </w:rPr>
  </w:style>
  <w:style w:type="character" w:customStyle="1" w:styleId="Heading1Char">
    <w:name w:val="Heading 1 Char"/>
    <w:basedOn w:val="DefaultParagraphFont"/>
    <w:link w:val="Heading1"/>
    <w:uiPriority w:val="9"/>
    <w:rsid w:val="009A0F58"/>
    <w:rPr>
      <w:rFonts w:asciiTheme="majorHAnsi" w:eastAsiaTheme="majorEastAsia" w:hAnsiTheme="majorHAnsi" w:cstheme="majorBidi"/>
      <w:color w:val="2F5496" w:themeColor="accent1" w:themeShade="BF"/>
      <w:sz w:val="32"/>
      <w:szCs w:val="32"/>
    </w:rPr>
  </w:style>
  <w:style w:type="paragraph" w:customStyle="1" w:styleId="paragraphwrapperolpd2">
    <w:name w:val="paragraph_wrapper__olpd2"/>
    <w:basedOn w:val="Normal"/>
    <w:rsid w:val="005C5CA5"/>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D50EE"/>
    <w:rPr>
      <w:color w:val="954F72" w:themeColor="followedHyperlink"/>
      <w:u w:val="single"/>
    </w:rPr>
  </w:style>
  <w:style w:type="paragraph" w:styleId="NormalWeb">
    <w:name w:val="Normal (Web)"/>
    <w:basedOn w:val="Normal"/>
    <w:uiPriority w:val="99"/>
    <w:unhideWhenUsed/>
    <w:rsid w:val="009078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E7737"/>
  </w:style>
  <w:style w:type="character" w:styleId="Emphasis">
    <w:name w:val="Emphasis"/>
    <w:basedOn w:val="DefaultParagraphFont"/>
    <w:uiPriority w:val="20"/>
    <w:qFormat/>
    <w:rsid w:val="005E7737"/>
    <w:rPr>
      <w:i/>
      <w:iCs/>
    </w:rPr>
  </w:style>
  <w:style w:type="paragraph" w:customStyle="1" w:styleId="Default">
    <w:name w:val="Default"/>
    <w:rsid w:val="00FB492F"/>
    <w:pPr>
      <w:autoSpaceDE w:val="0"/>
      <w:autoSpaceDN w:val="0"/>
      <w:adjustRightInd w:val="0"/>
    </w:pPr>
    <w:rPr>
      <w:rFonts w:ascii="Calibri" w:hAnsi="Calibri" w:cs="Calibri"/>
      <w:color w:val="000000"/>
      <w:lang w:val="en-GB"/>
    </w:rPr>
  </w:style>
  <w:style w:type="table" w:styleId="TableGrid">
    <w:name w:val="Table Grid"/>
    <w:basedOn w:val="TableNormal"/>
    <w:uiPriority w:val="39"/>
    <w:rsid w:val="0016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2288">
      <w:bodyDiv w:val="1"/>
      <w:marLeft w:val="0"/>
      <w:marRight w:val="0"/>
      <w:marTop w:val="0"/>
      <w:marBottom w:val="0"/>
      <w:divBdr>
        <w:top w:val="none" w:sz="0" w:space="0" w:color="auto"/>
        <w:left w:val="none" w:sz="0" w:space="0" w:color="auto"/>
        <w:bottom w:val="none" w:sz="0" w:space="0" w:color="auto"/>
        <w:right w:val="none" w:sz="0" w:space="0" w:color="auto"/>
      </w:divBdr>
    </w:div>
    <w:div w:id="184680748">
      <w:bodyDiv w:val="1"/>
      <w:marLeft w:val="0"/>
      <w:marRight w:val="0"/>
      <w:marTop w:val="0"/>
      <w:marBottom w:val="0"/>
      <w:divBdr>
        <w:top w:val="none" w:sz="0" w:space="0" w:color="auto"/>
        <w:left w:val="none" w:sz="0" w:space="0" w:color="auto"/>
        <w:bottom w:val="none" w:sz="0" w:space="0" w:color="auto"/>
        <w:right w:val="none" w:sz="0" w:space="0" w:color="auto"/>
      </w:divBdr>
      <w:divsChild>
        <w:div w:id="124665077">
          <w:marLeft w:val="0"/>
          <w:marRight w:val="0"/>
          <w:marTop w:val="0"/>
          <w:marBottom w:val="0"/>
          <w:divBdr>
            <w:top w:val="single" w:sz="2" w:space="0" w:color="E5E7EB"/>
            <w:left w:val="single" w:sz="2" w:space="0" w:color="E5E7EB"/>
            <w:bottom w:val="single" w:sz="2" w:space="0" w:color="E5E7EB"/>
            <w:right w:val="single" w:sz="2" w:space="0" w:color="E5E7EB"/>
          </w:divBdr>
        </w:div>
        <w:div w:id="6380022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10204334">
      <w:bodyDiv w:val="1"/>
      <w:marLeft w:val="0"/>
      <w:marRight w:val="0"/>
      <w:marTop w:val="0"/>
      <w:marBottom w:val="0"/>
      <w:divBdr>
        <w:top w:val="none" w:sz="0" w:space="0" w:color="auto"/>
        <w:left w:val="none" w:sz="0" w:space="0" w:color="auto"/>
        <w:bottom w:val="none" w:sz="0" w:space="0" w:color="auto"/>
        <w:right w:val="none" w:sz="0" w:space="0" w:color="auto"/>
      </w:divBdr>
      <w:divsChild>
        <w:div w:id="2103138624">
          <w:marLeft w:val="0"/>
          <w:marRight w:val="0"/>
          <w:marTop w:val="0"/>
          <w:marBottom w:val="0"/>
          <w:divBdr>
            <w:top w:val="none" w:sz="0" w:space="0" w:color="auto"/>
            <w:left w:val="none" w:sz="0" w:space="0" w:color="auto"/>
            <w:bottom w:val="none" w:sz="0" w:space="0" w:color="auto"/>
            <w:right w:val="none" w:sz="0" w:space="0" w:color="auto"/>
          </w:divBdr>
          <w:divsChild>
            <w:div w:id="158351191">
              <w:marLeft w:val="0"/>
              <w:marRight w:val="0"/>
              <w:marTop w:val="0"/>
              <w:marBottom w:val="0"/>
              <w:divBdr>
                <w:top w:val="none" w:sz="0" w:space="0" w:color="auto"/>
                <w:left w:val="none" w:sz="0" w:space="0" w:color="auto"/>
                <w:bottom w:val="none" w:sz="0" w:space="0" w:color="auto"/>
                <w:right w:val="none" w:sz="0" w:space="0" w:color="auto"/>
              </w:divBdr>
              <w:divsChild>
                <w:div w:id="501817928">
                  <w:marLeft w:val="0"/>
                  <w:marRight w:val="0"/>
                  <w:marTop w:val="0"/>
                  <w:marBottom w:val="0"/>
                  <w:divBdr>
                    <w:top w:val="none" w:sz="0" w:space="0" w:color="auto"/>
                    <w:left w:val="none" w:sz="0" w:space="0" w:color="auto"/>
                    <w:bottom w:val="none" w:sz="0" w:space="0" w:color="auto"/>
                    <w:right w:val="none" w:sz="0" w:space="0" w:color="auto"/>
                  </w:divBdr>
                </w:div>
                <w:div w:id="648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47395">
      <w:bodyDiv w:val="1"/>
      <w:marLeft w:val="0"/>
      <w:marRight w:val="0"/>
      <w:marTop w:val="0"/>
      <w:marBottom w:val="0"/>
      <w:divBdr>
        <w:top w:val="none" w:sz="0" w:space="0" w:color="auto"/>
        <w:left w:val="none" w:sz="0" w:space="0" w:color="auto"/>
        <w:bottom w:val="none" w:sz="0" w:space="0" w:color="auto"/>
        <w:right w:val="none" w:sz="0" w:space="0" w:color="auto"/>
      </w:divBdr>
    </w:div>
    <w:div w:id="659503092">
      <w:bodyDiv w:val="1"/>
      <w:marLeft w:val="0"/>
      <w:marRight w:val="0"/>
      <w:marTop w:val="0"/>
      <w:marBottom w:val="0"/>
      <w:divBdr>
        <w:top w:val="none" w:sz="0" w:space="0" w:color="auto"/>
        <w:left w:val="none" w:sz="0" w:space="0" w:color="auto"/>
        <w:bottom w:val="none" w:sz="0" w:space="0" w:color="auto"/>
        <w:right w:val="none" w:sz="0" w:space="0" w:color="auto"/>
      </w:divBdr>
      <w:divsChild>
        <w:div w:id="1318650764">
          <w:marLeft w:val="0"/>
          <w:marRight w:val="0"/>
          <w:marTop w:val="0"/>
          <w:marBottom w:val="0"/>
          <w:divBdr>
            <w:top w:val="none" w:sz="0" w:space="0" w:color="auto"/>
            <w:left w:val="none" w:sz="0" w:space="0" w:color="auto"/>
            <w:bottom w:val="none" w:sz="0" w:space="0" w:color="auto"/>
            <w:right w:val="none" w:sz="0" w:space="0" w:color="auto"/>
          </w:divBdr>
          <w:divsChild>
            <w:div w:id="1482307643">
              <w:marLeft w:val="0"/>
              <w:marRight w:val="0"/>
              <w:marTop w:val="0"/>
              <w:marBottom w:val="0"/>
              <w:divBdr>
                <w:top w:val="none" w:sz="0" w:space="0" w:color="auto"/>
                <w:left w:val="none" w:sz="0" w:space="0" w:color="auto"/>
                <w:bottom w:val="none" w:sz="0" w:space="0" w:color="auto"/>
                <w:right w:val="none" w:sz="0" w:space="0" w:color="auto"/>
              </w:divBdr>
              <w:divsChild>
                <w:div w:id="17522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3466">
      <w:bodyDiv w:val="1"/>
      <w:marLeft w:val="0"/>
      <w:marRight w:val="0"/>
      <w:marTop w:val="0"/>
      <w:marBottom w:val="0"/>
      <w:divBdr>
        <w:top w:val="none" w:sz="0" w:space="0" w:color="auto"/>
        <w:left w:val="none" w:sz="0" w:space="0" w:color="auto"/>
        <w:bottom w:val="none" w:sz="0" w:space="0" w:color="auto"/>
        <w:right w:val="none" w:sz="0" w:space="0" w:color="auto"/>
      </w:divBdr>
    </w:div>
    <w:div w:id="1015689929">
      <w:bodyDiv w:val="1"/>
      <w:marLeft w:val="0"/>
      <w:marRight w:val="0"/>
      <w:marTop w:val="0"/>
      <w:marBottom w:val="0"/>
      <w:divBdr>
        <w:top w:val="none" w:sz="0" w:space="0" w:color="auto"/>
        <w:left w:val="none" w:sz="0" w:space="0" w:color="auto"/>
        <w:bottom w:val="none" w:sz="0" w:space="0" w:color="auto"/>
        <w:right w:val="none" w:sz="0" w:space="0" w:color="auto"/>
      </w:divBdr>
      <w:divsChild>
        <w:div w:id="1791166088">
          <w:marLeft w:val="0"/>
          <w:marRight w:val="0"/>
          <w:marTop w:val="0"/>
          <w:marBottom w:val="0"/>
          <w:divBdr>
            <w:top w:val="single" w:sz="2" w:space="0" w:color="E5E7EB"/>
            <w:left w:val="single" w:sz="2" w:space="0" w:color="E5E7EB"/>
            <w:bottom w:val="single" w:sz="2" w:space="0" w:color="E5E7EB"/>
            <w:right w:val="single" w:sz="2" w:space="0" w:color="E5E7EB"/>
          </w:divBdr>
        </w:div>
        <w:div w:id="5682248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6689052">
      <w:bodyDiv w:val="1"/>
      <w:marLeft w:val="0"/>
      <w:marRight w:val="0"/>
      <w:marTop w:val="0"/>
      <w:marBottom w:val="0"/>
      <w:divBdr>
        <w:top w:val="none" w:sz="0" w:space="0" w:color="auto"/>
        <w:left w:val="none" w:sz="0" w:space="0" w:color="auto"/>
        <w:bottom w:val="none" w:sz="0" w:space="0" w:color="auto"/>
        <w:right w:val="none" w:sz="0" w:space="0" w:color="auto"/>
      </w:divBdr>
    </w:div>
    <w:div w:id="1304388186">
      <w:bodyDiv w:val="1"/>
      <w:marLeft w:val="0"/>
      <w:marRight w:val="0"/>
      <w:marTop w:val="0"/>
      <w:marBottom w:val="0"/>
      <w:divBdr>
        <w:top w:val="none" w:sz="0" w:space="0" w:color="auto"/>
        <w:left w:val="none" w:sz="0" w:space="0" w:color="auto"/>
        <w:bottom w:val="none" w:sz="0" w:space="0" w:color="auto"/>
        <w:right w:val="none" w:sz="0" w:space="0" w:color="auto"/>
      </w:divBdr>
    </w:div>
    <w:div w:id="1344552514">
      <w:bodyDiv w:val="1"/>
      <w:marLeft w:val="0"/>
      <w:marRight w:val="0"/>
      <w:marTop w:val="0"/>
      <w:marBottom w:val="0"/>
      <w:divBdr>
        <w:top w:val="none" w:sz="0" w:space="0" w:color="auto"/>
        <w:left w:val="none" w:sz="0" w:space="0" w:color="auto"/>
        <w:bottom w:val="none" w:sz="0" w:space="0" w:color="auto"/>
        <w:right w:val="none" w:sz="0" w:space="0" w:color="auto"/>
      </w:divBdr>
    </w:div>
    <w:div w:id="1604923037">
      <w:bodyDiv w:val="1"/>
      <w:marLeft w:val="0"/>
      <w:marRight w:val="0"/>
      <w:marTop w:val="0"/>
      <w:marBottom w:val="0"/>
      <w:divBdr>
        <w:top w:val="none" w:sz="0" w:space="0" w:color="auto"/>
        <w:left w:val="none" w:sz="0" w:space="0" w:color="auto"/>
        <w:bottom w:val="none" w:sz="0" w:space="0" w:color="auto"/>
        <w:right w:val="none" w:sz="0" w:space="0" w:color="auto"/>
      </w:divBdr>
    </w:div>
    <w:div w:id="1621253881">
      <w:bodyDiv w:val="1"/>
      <w:marLeft w:val="0"/>
      <w:marRight w:val="0"/>
      <w:marTop w:val="0"/>
      <w:marBottom w:val="0"/>
      <w:divBdr>
        <w:top w:val="none" w:sz="0" w:space="0" w:color="auto"/>
        <w:left w:val="none" w:sz="0" w:space="0" w:color="auto"/>
        <w:bottom w:val="none" w:sz="0" w:space="0" w:color="auto"/>
        <w:right w:val="none" w:sz="0" w:space="0" w:color="auto"/>
      </w:divBdr>
    </w:div>
    <w:div w:id="1681934849">
      <w:bodyDiv w:val="1"/>
      <w:marLeft w:val="0"/>
      <w:marRight w:val="0"/>
      <w:marTop w:val="0"/>
      <w:marBottom w:val="0"/>
      <w:divBdr>
        <w:top w:val="none" w:sz="0" w:space="0" w:color="auto"/>
        <w:left w:val="none" w:sz="0" w:space="0" w:color="auto"/>
        <w:bottom w:val="none" w:sz="0" w:space="0" w:color="auto"/>
        <w:right w:val="none" w:sz="0" w:space="0" w:color="auto"/>
      </w:divBdr>
    </w:div>
    <w:div w:id="1697340702">
      <w:bodyDiv w:val="1"/>
      <w:marLeft w:val="0"/>
      <w:marRight w:val="0"/>
      <w:marTop w:val="0"/>
      <w:marBottom w:val="0"/>
      <w:divBdr>
        <w:top w:val="none" w:sz="0" w:space="0" w:color="auto"/>
        <w:left w:val="none" w:sz="0" w:space="0" w:color="auto"/>
        <w:bottom w:val="none" w:sz="0" w:space="0" w:color="auto"/>
        <w:right w:val="none" w:sz="0" w:space="0" w:color="auto"/>
      </w:divBdr>
    </w:div>
    <w:div w:id="1698509310">
      <w:bodyDiv w:val="1"/>
      <w:marLeft w:val="0"/>
      <w:marRight w:val="0"/>
      <w:marTop w:val="0"/>
      <w:marBottom w:val="0"/>
      <w:divBdr>
        <w:top w:val="none" w:sz="0" w:space="0" w:color="auto"/>
        <w:left w:val="none" w:sz="0" w:space="0" w:color="auto"/>
        <w:bottom w:val="none" w:sz="0" w:space="0" w:color="auto"/>
        <w:right w:val="none" w:sz="0" w:space="0" w:color="auto"/>
      </w:divBdr>
    </w:div>
    <w:div w:id="1788575545">
      <w:bodyDiv w:val="1"/>
      <w:marLeft w:val="0"/>
      <w:marRight w:val="0"/>
      <w:marTop w:val="0"/>
      <w:marBottom w:val="0"/>
      <w:divBdr>
        <w:top w:val="none" w:sz="0" w:space="0" w:color="auto"/>
        <w:left w:val="none" w:sz="0" w:space="0" w:color="auto"/>
        <w:bottom w:val="none" w:sz="0" w:space="0" w:color="auto"/>
        <w:right w:val="none" w:sz="0" w:space="0" w:color="auto"/>
      </w:divBdr>
      <w:divsChild>
        <w:div w:id="955138531">
          <w:marLeft w:val="0"/>
          <w:marRight w:val="0"/>
          <w:marTop w:val="0"/>
          <w:marBottom w:val="0"/>
          <w:divBdr>
            <w:top w:val="single" w:sz="2" w:space="0" w:color="E5E7EB"/>
            <w:left w:val="single" w:sz="2" w:space="0" w:color="E5E7EB"/>
            <w:bottom w:val="single" w:sz="2" w:space="0" w:color="E5E7EB"/>
            <w:right w:val="single" w:sz="2" w:space="0" w:color="E5E7EB"/>
          </w:divBdr>
        </w:div>
        <w:div w:id="10401310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8472858">
      <w:bodyDiv w:val="1"/>
      <w:marLeft w:val="0"/>
      <w:marRight w:val="0"/>
      <w:marTop w:val="0"/>
      <w:marBottom w:val="0"/>
      <w:divBdr>
        <w:top w:val="none" w:sz="0" w:space="0" w:color="auto"/>
        <w:left w:val="none" w:sz="0" w:space="0" w:color="auto"/>
        <w:bottom w:val="none" w:sz="0" w:space="0" w:color="auto"/>
        <w:right w:val="none" w:sz="0" w:space="0" w:color="auto"/>
      </w:divBdr>
      <w:divsChild>
        <w:div w:id="2025857505">
          <w:marLeft w:val="0"/>
          <w:marRight w:val="0"/>
          <w:marTop w:val="0"/>
          <w:marBottom w:val="0"/>
          <w:divBdr>
            <w:top w:val="single" w:sz="2" w:space="0" w:color="E5E7EB"/>
            <w:left w:val="single" w:sz="2" w:space="0" w:color="E5E7EB"/>
            <w:bottom w:val="single" w:sz="2" w:space="0" w:color="E5E7EB"/>
            <w:right w:val="single" w:sz="2" w:space="0" w:color="E5E7EB"/>
          </w:divBdr>
        </w:div>
        <w:div w:id="14569485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04580780">
      <w:bodyDiv w:val="1"/>
      <w:marLeft w:val="0"/>
      <w:marRight w:val="0"/>
      <w:marTop w:val="0"/>
      <w:marBottom w:val="0"/>
      <w:divBdr>
        <w:top w:val="none" w:sz="0" w:space="0" w:color="auto"/>
        <w:left w:val="none" w:sz="0" w:space="0" w:color="auto"/>
        <w:bottom w:val="none" w:sz="0" w:space="0" w:color="auto"/>
        <w:right w:val="none" w:sz="0" w:space="0" w:color="auto"/>
      </w:divBdr>
      <w:divsChild>
        <w:div w:id="429662377">
          <w:marLeft w:val="0"/>
          <w:marRight w:val="0"/>
          <w:marTop w:val="0"/>
          <w:marBottom w:val="0"/>
          <w:divBdr>
            <w:top w:val="none" w:sz="0" w:space="0" w:color="auto"/>
            <w:left w:val="none" w:sz="0" w:space="0" w:color="auto"/>
            <w:bottom w:val="none" w:sz="0" w:space="0" w:color="auto"/>
            <w:right w:val="none" w:sz="0" w:space="0" w:color="auto"/>
          </w:divBdr>
          <w:divsChild>
            <w:div w:id="1140654451">
              <w:marLeft w:val="0"/>
              <w:marRight w:val="0"/>
              <w:marTop w:val="0"/>
              <w:marBottom w:val="0"/>
              <w:divBdr>
                <w:top w:val="none" w:sz="0" w:space="0" w:color="auto"/>
                <w:left w:val="none" w:sz="0" w:space="0" w:color="auto"/>
                <w:bottom w:val="none" w:sz="0" w:space="0" w:color="auto"/>
                <w:right w:val="none" w:sz="0" w:space="0" w:color="auto"/>
              </w:divBdr>
              <w:divsChild>
                <w:div w:id="14695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1000">
      <w:bodyDiv w:val="1"/>
      <w:marLeft w:val="0"/>
      <w:marRight w:val="0"/>
      <w:marTop w:val="0"/>
      <w:marBottom w:val="0"/>
      <w:divBdr>
        <w:top w:val="none" w:sz="0" w:space="0" w:color="auto"/>
        <w:left w:val="none" w:sz="0" w:space="0" w:color="auto"/>
        <w:bottom w:val="none" w:sz="0" w:space="0" w:color="auto"/>
        <w:right w:val="none" w:sz="0" w:space="0" w:color="auto"/>
      </w:divBdr>
      <w:divsChild>
        <w:div w:id="1464274781">
          <w:marLeft w:val="0"/>
          <w:marRight w:val="0"/>
          <w:marTop w:val="0"/>
          <w:marBottom w:val="0"/>
          <w:divBdr>
            <w:top w:val="none" w:sz="0" w:space="0" w:color="auto"/>
            <w:left w:val="none" w:sz="0" w:space="0" w:color="auto"/>
            <w:bottom w:val="none" w:sz="0" w:space="0" w:color="auto"/>
            <w:right w:val="none" w:sz="0" w:space="0" w:color="auto"/>
          </w:divBdr>
          <w:divsChild>
            <w:div w:id="465658902">
              <w:marLeft w:val="0"/>
              <w:marRight w:val="0"/>
              <w:marTop w:val="0"/>
              <w:marBottom w:val="0"/>
              <w:divBdr>
                <w:top w:val="none" w:sz="0" w:space="0" w:color="auto"/>
                <w:left w:val="none" w:sz="0" w:space="0" w:color="auto"/>
                <w:bottom w:val="none" w:sz="0" w:space="0" w:color="auto"/>
                <w:right w:val="none" w:sz="0" w:space="0" w:color="auto"/>
              </w:divBdr>
              <w:divsChild>
                <w:div w:id="9281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builder.abs.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royalcommission.gov.au/system/files/2021-03/final-report-volume-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ob@uow.edu.au" TargetMode="External"/><Relationship Id="rId11" Type="http://schemas.openxmlformats.org/officeDocument/2006/relationships/hyperlink" Target="https://www.nationalskillscommission.gov.au/topics/internet-vacancy-index" TargetMode="External"/><Relationship Id="rId5" Type="http://schemas.openxmlformats.org/officeDocument/2006/relationships/image" Target="media/image1.png"/><Relationship Id="rId10" Type="http://schemas.openxmlformats.org/officeDocument/2006/relationships/hyperlink" Target="https://www.theaustralian.com.au/nation/seven-in-10-nursing-homes-operating-at-a-loss/news-story/07742ef6772eb728dcb4594525f14a34" TargetMode="External"/><Relationship Id="rId4" Type="http://schemas.openxmlformats.org/officeDocument/2006/relationships/webSettings" Target="webSettings.xml"/><Relationship Id="rId9" Type="http://schemas.openxmlformats.org/officeDocument/2006/relationships/hyperlink" Target="https://bluehavenillawarra.com.au/wp-content/uploads/2021/03/BH-Terralong-Frequently-Asked-Questions-updated-March-2021.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rtinob\Library\CloudStorage\OneDrive-UniversityofWollongong\conference%20and%20working%20papers\actu\usu\kiama%20age%2006.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Kiama LGA</c:v>
          </c:tx>
          <c:spPr>
            <a:ln w="28575" cap="rnd">
              <a:solidFill>
                <a:schemeClr val="accent1"/>
              </a:solidFill>
              <a:round/>
            </a:ln>
            <a:effectLst/>
          </c:spPr>
          <c:marker>
            <c:symbol val="none"/>
          </c:marker>
          <c:cat>
            <c:numRef>
              <c:f>'kiama age 06'!$F$14:$I$14</c:f>
              <c:numCache>
                <c:formatCode>General</c:formatCode>
                <c:ptCount val="4"/>
                <c:pt idx="0">
                  <c:v>2006</c:v>
                </c:pt>
                <c:pt idx="1">
                  <c:v>2011</c:v>
                </c:pt>
                <c:pt idx="2">
                  <c:v>2016</c:v>
                </c:pt>
                <c:pt idx="3">
                  <c:v>2021</c:v>
                </c:pt>
              </c:numCache>
            </c:numRef>
          </c:cat>
          <c:val>
            <c:numRef>
              <c:f>'kiama age 06'!$F$23:$I$23</c:f>
              <c:numCache>
                <c:formatCode>General</c:formatCode>
                <c:ptCount val="4"/>
                <c:pt idx="0">
                  <c:v>18.774693146499501</c:v>
                </c:pt>
                <c:pt idx="1">
                  <c:v>20.595446584938706</c:v>
                </c:pt>
                <c:pt idx="2">
                  <c:v>23.525575328426349</c:v>
                </c:pt>
                <c:pt idx="3">
                  <c:v>27.611164080783567</c:v>
                </c:pt>
              </c:numCache>
            </c:numRef>
          </c:val>
          <c:smooth val="0"/>
          <c:extLst>
            <c:ext xmlns:c16="http://schemas.microsoft.com/office/drawing/2014/chart" uri="{C3380CC4-5D6E-409C-BE32-E72D297353CC}">
              <c16:uniqueId val="{00000000-30DC-EC48-94F5-A61E7E1103B6}"/>
            </c:ext>
          </c:extLst>
        </c:ser>
        <c:ser>
          <c:idx val="1"/>
          <c:order val="1"/>
          <c:tx>
            <c:v>Australia</c:v>
          </c:tx>
          <c:spPr>
            <a:ln w="28575" cap="rnd">
              <a:solidFill>
                <a:schemeClr val="accent2"/>
              </a:solidFill>
              <a:round/>
            </a:ln>
            <a:effectLst/>
          </c:spPr>
          <c:marker>
            <c:symbol val="none"/>
          </c:marker>
          <c:cat>
            <c:numRef>
              <c:f>'kiama age 06'!$F$14:$I$14</c:f>
              <c:numCache>
                <c:formatCode>General</c:formatCode>
                <c:ptCount val="4"/>
                <c:pt idx="0">
                  <c:v>2006</c:v>
                </c:pt>
                <c:pt idx="1">
                  <c:v>2011</c:v>
                </c:pt>
                <c:pt idx="2">
                  <c:v>2016</c:v>
                </c:pt>
                <c:pt idx="3">
                  <c:v>2021</c:v>
                </c:pt>
              </c:numCache>
            </c:numRef>
          </c:cat>
          <c:val>
            <c:numRef>
              <c:f>'kiama age 06'!$F$34:$I$34</c:f>
              <c:numCache>
                <c:formatCode>General</c:formatCode>
                <c:ptCount val="4"/>
                <c:pt idx="0">
                  <c:v>13.318205876349207</c:v>
                </c:pt>
                <c:pt idx="1">
                  <c:v>14.005660014434817</c:v>
                </c:pt>
                <c:pt idx="2">
                  <c:v>15.711414090425427</c:v>
                </c:pt>
                <c:pt idx="3">
                  <c:v>17.221108872874211</c:v>
                </c:pt>
              </c:numCache>
            </c:numRef>
          </c:val>
          <c:smooth val="0"/>
          <c:extLst>
            <c:ext xmlns:c16="http://schemas.microsoft.com/office/drawing/2014/chart" uri="{C3380CC4-5D6E-409C-BE32-E72D297353CC}">
              <c16:uniqueId val="{00000001-30DC-EC48-94F5-A61E7E1103B6}"/>
            </c:ext>
          </c:extLst>
        </c:ser>
        <c:dLbls>
          <c:showLegendKey val="0"/>
          <c:showVal val="0"/>
          <c:showCatName val="0"/>
          <c:showSerName val="0"/>
          <c:showPercent val="0"/>
          <c:showBubbleSize val="0"/>
        </c:dLbls>
        <c:smooth val="0"/>
        <c:axId val="600426287"/>
        <c:axId val="640754735"/>
      </c:lineChart>
      <c:catAx>
        <c:axId val="600426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754735"/>
        <c:crosses val="autoZero"/>
        <c:auto val="1"/>
        <c:lblAlgn val="ctr"/>
        <c:lblOffset val="100"/>
        <c:noMultiLvlLbl val="0"/>
      </c:catAx>
      <c:valAx>
        <c:axId val="640754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426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O'Brien</dc:creator>
  <cp:keywords/>
  <dc:description/>
  <cp:lastModifiedBy>Howard Jones</cp:lastModifiedBy>
  <cp:revision>2</cp:revision>
  <cp:lastPrinted>2023-03-15T05:40:00Z</cp:lastPrinted>
  <dcterms:created xsi:type="dcterms:W3CDTF">2023-03-15T05:40:00Z</dcterms:created>
  <dcterms:modified xsi:type="dcterms:W3CDTF">2023-03-15T05:40:00Z</dcterms:modified>
</cp:coreProperties>
</file>